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7F2A7" w14:textId="77777777" w:rsidR="009A6858" w:rsidRDefault="009A6858" w:rsidP="00BC38B4">
      <w:pPr>
        <w:pStyle w:val="NoSpacing"/>
        <w:jc w:val="center"/>
        <w:rPr>
          <w:rFonts w:ascii="Times New Roman" w:hAnsi="Times New Roman" w:cs="Times New Roman"/>
          <w:b/>
          <w:sz w:val="32"/>
          <w:szCs w:val="32"/>
        </w:rPr>
      </w:pPr>
    </w:p>
    <w:p w14:paraId="68C3E9C9" w14:textId="77777777" w:rsidR="009A6858" w:rsidRDefault="009A6858" w:rsidP="00BC38B4">
      <w:pPr>
        <w:pStyle w:val="NoSpacing"/>
        <w:jc w:val="center"/>
        <w:rPr>
          <w:rFonts w:ascii="Times New Roman" w:hAnsi="Times New Roman" w:cs="Times New Roman"/>
          <w:b/>
          <w:sz w:val="32"/>
          <w:szCs w:val="32"/>
        </w:rPr>
      </w:pPr>
    </w:p>
    <w:p w14:paraId="09ECBB22" w14:textId="774337E3" w:rsidR="002F7FD3" w:rsidRDefault="002F7FD3" w:rsidP="00BC38B4">
      <w:pPr>
        <w:pStyle w:val="NoSpacing"/>
        <w:jc w:val="center"/>
        <w:rPr>
          <w:rFonts w:ascii="Times New Roman" w:hAnsi="Times New Roman" w:cs="Times New Roman"/>
          <w:b/>
          <w:sz w:val="32"/>
          <w:szCs w:val="32"/>
        </w:rPr>
      </w:pPr>
      <w:r>
        <w:rPr>
          <w:rFonts w:ascii="Times New Roman" w:hAnsi="Times New Roman" w:cs="Times New Roman"/>
          <w:b/>
          <w:sz w:val="32"/>
          <w:szCs w:val="32"/>
        </w:rPr>
        <w:t>POLICY MEMORANDUM</w:t>
      </w:r>
    </w:p>
    <w:p w14:paraId="52077829" w14:textId="77777777" w:rsidR="002F7FD3" w:rsidRDefault="002F7FD3" w:rsidP="00BC38B4">
      <w:pPr>
        <w:pStyle w:val="NoSpacing"/>
        <w:jc w:val="center"/>
        <w:rPr>
          <w:rFonts w:ascii="Times New Roman" w:hAnsi="Times New Roman" w:cs="Times New Roman"/>
          <w:b/>
          <w:sz w:val="32"/>
          <w:szCs w:val="32"/>
        </w:rPr>
      </w:pPr>
    </w:p>
    <w:p w14:paraId="2A86AEB6" w14:textId="77777777" w:rsidR="002F7FD3" w:rsidRDefault="002F7FD3" w:rsidP="00BC38B4">
      <w:pPr>
        <w:pStyle w:val="NoSpacing"/>
        <w:jc w:val="center"/>
        <w:rPr>
          <w:rFonts w:ascii="Times New Roman" w:hAnsi="Times New Roman" w:cs="Times New Roman"/>
          <w:b/>
          <w:sz w:val="32"/>
          <w:szCs w:val="32"/>
        </w:rPr>
      </w:pPr>
    </w:p>
    <w:p w14:paraId="46281AB3" w14:textId="1BA667E2" w:rsidR="00BC38B4" w:rsidRDefault="00962D7A" w:rsidP="00BC38B4">
      <w:pPr>
        <w:pStyle w:val="NoSpacing"/>
        <w:jc w:val="center"/>
        <w:rPr>
          <w:rFonts w:ascii="Times New Roman" w:hAnsi="Times New Roman" w:cs="Times New Roman"/>
          <w:b/>
          <w:sz w:val="32"/>
          <w:szCs w:val="32"/>
        </w:rPr>
      </w:pPr>
      <w:r>
        <w:rPr>
          <w:rFonts w:ascii="Times New Roman" w:hAnsi="Times New Roman" w:cs="Times New Roman"/>
          <w:b/>
          <w:sz w:val="32"/>
          <w:szCs w:val="32"/>
        </w:rPr>
        <w:t>Congressional Appropriations and Human Germline Modifications</w:t>
      </w:r>
      <w:r w:rsidR="00BC38B4" w:rsidRPr="00150473">
        <w:rPr>
          <w:rFonts w:ascii="Times New Roman" w:hAnsi="Times New Roman" w:cs="Times New Roman"/>
          <w:b/>
          <w:sz w:val="32"/>
          <w:szCs w:val="32"/>
        </w:rPr>
        <w:t xml:space="preserve"> </w:t>
      </w:r>
    </w:p>
    <w:p w14:paraId="248775FF" w14:textId="77777777" w:rsidR="00C36C22" w:rsidRPr="00150473" w:rsidRDefault="00C36C22" w:rsidP="00BC38B4">
      <w:pPr>
        <w:pStyle w:val="NoSpacing"/>
        <w:jc w:val="center"/>
        <w:rPr>
          <w:rFonts w:ascii="Times New Roman" w:hAnsi="Times New Roman" w:cs="Times New Roman"/>
          <w:b/>
          <w:sz w:val="32"/>
          <w:szCs w:val="32"/>
        </w:rPr>
      </w:pPr>
    </w:p>
    <w:p w14:paraId="6E7A918B" w14:textId="7162FA6B" w:rsidR="00BC38B4" w:rsidRDefault="00BC38B4" w:rsidP="00F5169D">
      <w:pPr>
        <w:pStyle w:val="NoSpacing"/>
        <w:rPr>
          <w:rFonts w:ascii="Times New Roman" w:hAnsi="Times New Roman" w:cs="Times New Roman"/>
          <w:b/>
          <w:sz w:val="24"/>
          <w:szCs w:val="24"/>
        </w:rPr>
      </w:pPr>
    </w:p>
    <w:p w14:paraId="7D2DC86A" w14:textId="4CB2A4D5" w:rsidR="009A6858" w:rsidRDefault="009A6858" w:rsidP="00F5169D">
      <w:pPr>
        <w:pStyle w:val="NoSpacing"/>
        <w:rPr>
          <w:rFonts w:ascii="Times New Roman" w:hAnsi="Times New Roman" w:cs="Times New Roman"/>
          <w:b/>
          <w:sz w:val="24"/>
          <w:szCs w:val="24"/>
        </w:rPr>
      </w:pPr>
    </w:p>
    <w:p w14:paraId="7C6A53D2" w14:textId="2B3B7CFE" w:rsidR="009A6858" w:rsidRDefault="009A6858" w:rsidP="00F5169D">
      <w:pPr>
        <w:pStyle w:val="NoSpacing"/>
        <w:rPr>
          <w:rFonts w:ascii="Times New Roman" w:hAnsi="Times New Roman" w:cs="Times New Roman"/>
          <w:b/>
          <w:sz w:val="24"/>
          <w:szCs w:val="24"/>
        </w:rPr>
      </w:pPr>
    </w:p>
    <w:p w14:paraId="2436E255" w14:textId="3C3C1A8D" w:rsidR="009A6858" w:rsidRDefault="009A6858" w:rsidP="00F5169D">
      <w:pPr>
        <w:pStyle w:val="NoSpacing"/>
        <w:rPr>
          <w:rFonts w:ascii="Times New Roman" w:hAnsi="Times New Roman" w:cs="Times New Roman"/>
          <w:b/>
          <w:sz w:val="24"/>
          <w:szCs w:val="24"/>
        </w:rPr>
      </w:pPr>
    </w:p>
    <w:p w14:paraId="68D3784D" w14:textId="3CDD2711" w:rsidR="009A6858" w:rsidRDefault="009A6858" w:rsidP="00F5169D">
      <w:pPr>
        <w:pStyle w:val="NoSpacing"/>
        <w:rPr>
          <w:rFonts w:ascii="Times New Roman" w:hAnsi="Times New Roman" w:cs="Times New Roman"/>
          <w:b/>
          <w:sz w:val="24"/>
          <w:szCs w:val="24"/>
        </w:rPr>
      </w:pPr>
    </w:p>
    <w:p w14:paraId="0B308242" w14:textId="41D7A924" w:rsidR="009A6858" w:rsidRDefault="009A6858" w:rsidP="00F5169D">
      <w:pPr>
        <w:pStyle w:val="NoSpacing"/>
        <w:rPr>
          <w:rFonts w:ascii="Times New Roman" w:hAnsi="Times New Roman" w:cs="Times New Roman"/>
          <w:b/>
          <w:sz w:val="24"/>
          <w:szCs w:val="24"/>
        </w:rPr>
      </w:pPr>
    </w:p>
    <w:p w14:paraId="09809336" w14:textId="257A016E" w:rsidR="009A6858" w:rsidRDefault="009A6858" w:rsidP="00F5169D">
      <w:pPr>
        <w:pStyle w:val="NoSpacing"/>
        <w:rPr>
          <w:rFonts w:ascii="Times New Roman" w:hAnsi="Times New Roman" w:cs="Times New Roman"/>
          <w:b/>
          <w:sz w:val="24"/>
          <w:szCs w:val="24"/>
        </w:rPr>
      </w:pPr>
    </w:p>
    <w:p w14:paraId="549597C0" w14:textId="1762AF91" w:rsidR="009A6858" w:rsidRDefault="009A6858" w:rsidP="00F5169D">
      <w:pPr>
        <w:pStyle w:val="NoSpacing"/>
        <w:rPr>
          <w:rFonts w:ascii="Times New Roman" w:hAnsi="Times New Roman" w:cs="Times New Roman"/>
          <w:b/>
          <w:sz w:val="24"/>
          <w:szCs w:val="24"/>
        </w:rPr>
      </w:pPr>
    </w:p>
    <w:p w14:paraId="3FF61682" w14:textId="064E2673" w:rsidR="009A6858" w:rsidRDefault="009A6858" w:rsidP="00F5169D">
      <w:pPr>
        <w:pStyle w:val="NoSpacing"/>
        <w:rPr>
          <w:rFonts w:ascii="Times New Roman" w:hAnsi="Times New Roman" w:cs="Times New Roman"/>
          <w:b/>
          <w:sz w:val="24"/>
          <w:szCs w:val="24"/>
        </w:rPr>
      </w:pPr>
    </w:p>
    <w:p w14:paraId="7F25C112" w14:textId="5D218AAF" w:rsidR="009A6858" w:rsidRDefault="009A6858" w:rsidP="00F5169D">
      <w:pPr>
        <w:pStyle w:val="NoSpacing"/>
        <w:rPr>
          <w:rFonts w:ascii="Times New Roman" w:hAnsi="Times New Roman" w:cs="Times New Roman"/>
          <w:b/>
          <w:sz w:val="24"/>
          <w:szCs w:val="24"/>
        </w:rPr>
      </w:pPr>
    </w:p>
    <w:p w14:paraId="6AD252B5" w14:textId="70B9C0C2" w:rsidR="009A6858" w:rsidRDefault="009A6858" w:rsidP="00F5169D">
      <w:pPr>
        <w:pStyle w:val="NoSpacing"/>
        <w:rPr>
          <w:rFonts w:ascii="Times New Roman" w:hAnsi="Times New Roman" w:cs="Times New Roman"/>
          <w:b/>
          <w:sz w:val="24"/>
          <w:szCs w:val="24"/>
        </w:rPr>
      </w:pPr>
    </w:p>
    <w:p w14:paraId="2124B35C" w14:textId="47166091" w:rsidR="009A6858" w:rsidRDefault="009A6858" w:rsidP="00F5169D">
      <w:pPr>
        <w:pStyle w:val="NoSpacing"/>
        <w:rPr>
          <w:rFonts w:ascii="Times New Roman" w:hAnsi="Times New Roman" w:cs="Times New Roman"/>
          <w:b/>
          <w:sz w:val="24"/>
          <w:szCs w:val="24"/>
        </w:rPr>
      </w:pPr>
    </w:p>
    <w:p w14:paraId="40837D95" w14:textId="0EAD62E4" w:rsidR="009A6858" w:rsidRDefault="009A6858" w:rsidP="00F5169D">
      <w:pPr>
        <w:pStyle w:val="NoSpacing"/>
        <w:rPr>
          <w:rFonts w:ascii="Times New Roman" w:hAnsi="Times New Roman" w:cs="Times New Roman"/>
          <w:b/>
          <w:sz w:val="24"/>
          <w:szCs w:val="24"/>
        </w:rPr>
      </w:pPr>
    </w:p>
    <w:p w14:paraId="2CB77BD4" w14:textId="5D5CC5C3" w:rsidR="009A6858" w:rsidRDefault="009A6858" w:rsidP="00F5169D">
      <w:pPr>
        <w:pStyle w:val="NoSpacing"/>
        <w:rPr>
          <w:rFonts w:ascii="Times New Roman" w:hAnsi="Times New Roman" w:cs="Times New Roman"/>
          <w:b/>
          <w:sz w:val="24"/>
          <w:szCs w:val="24"/>
        </w:rPr>
      </w:pPr>
    </w:p>
    <w:p w14:paraId="4B1BB8E2" w14:textId="2ECE5DC4" w:rsidR="009A6858" w:rsidRDefault="009A6858" w:rsidP="00F5169D">
      <w:pPr>
        <w:pStyle w:val="NoSpacing"/>
        <w:rPr>
          <w:rFonts w:ascii="Times New Roman" w:hAnsi="Times New Roman" w:cs="Times New Roman"/>
          <w:b/>
          <w:sz w:val="24"/>
          <w:szCs w:val="24"/>
        </w:rPr>
      </w:pPr>
    </w:p>
    <w:p w14:paraId="3DEFFC46" w14:textId="36225B71" w:rsidR="00701582" w:rsidRDefault="00701582" w:rsidP="00F5169D">
      <w:pPr>
        <w:pStyle w:val="NoSpacing"/>
        <w:rPr>
          <w:rFonts w:ascii="Times New Roman" w:hAnsi="Times New Roman" w:cs="Times New Roman"/>
          <w:b/>
          <w:sz w:val="24"/>
          <w:szCs w:val="24"/>
        </w:rPr>
      </w:pPr>
    </w:p>
    <w:p w14:paraId="5F1ACCE0" w14:textId="6D0194FD" w:rsidR="00701582" w:rsidRDefault="00701582" w:rsidP="00F5169D">
      <w:pPr>
        <w:pStyle w:val="NoSpacing"/>
        <w:rPr>
          <w:rFonts w:ascii="Times New Roman" w:hAnsi="Times New Roman" w:cs="Times New Roman"/>
          <w:b/>
          <w:sz w:val="24"/>
          <w:szCs w:val="24"/>
        </w:rPr>
      </w:pPr>
    </w:p>
    <w:p w14:paraId="70BD9156" w14:textId="0AA2F2D1" w:rsidR="00701582" w:rsidRDefault="00701582" w:rsidP="00F5169D">
      <w:pPr>
        <w:pStyle w:val="NoSpacing"/>
        <w:rPr>
          <w:rFonts w:ascii="Times New Roman" w:hAnsi="Times New Roman" w:cs="Times New Roman"/>
          <w:b/>
          <w:sz w:val="24"/>
          <w:szCs w:val="24"/>
        </w:rPr>
      </w:pPr>
    </w:p>
    <w:p w14:paraId="2849EBF5" w14:textId="1B2C7B79" w:rsidR="00701582" w:rsidRDefault="00701582" w:rsidP="00F5169D">
      <w:pPr>
        <w:pStyle w:val="NoSpacing"/>
        <w:rPr>
          <w:rFonts w:ascii="Times New Roman" w:hAnsi="Times New Roman" w:cs="Times New Roman"/>
          <w:b/>
          <w:sz w:val="24"/>
          <w:szCs w:val="24"/>
        </w:rPr>
      </w:pPr>
    </w:p>
    <w:p w14:paraId="148985C9" w14:textId="17740797" w:rsidR="00701582" w:rsidRDefault="00701582" w:rsidP="00F5169D">
      <w:pPr>
        <w:pStyle w:val="NoSpacing"/>
        <w:rPr>
          <w:rFonts w:ascii="Times New Roman" w:hAnsi="Times New Roman" w:cs="Times New Roman"/>
          <w:b/>
          <w:sz w:val="24"/>
          <w:szCs w:val="24"/>
        </w:rPr>
      </w:pPr>
    </w:p>
    <w:p w14:paraId="5953E865" w14:textId="6A325B63" w:rsidR="00701582" w:rsidRDefault="00701582" w:rsidP="00F5169D">
      <w:pPr>
        <w:pStyle w:val="NoSpacing"/>
        <w:rPr>
          <w:rFonts w:ascii="Times New Roman" w:hAnsi="Times New Roman" w:cs="Times New Roman"/>
          <w:b/>
          <w:sz w:val="24"/>
          <w:szCs w:val="24"/>
        </w:rPr>
      </w:pPr>
    </w:p>
    <w:p w14:paraId="28E8C39A" w14:textId="77777777" w:rsidR="00701582" w:rsidRDefault="00701582" w:rsidP="00F5169D">
      <w:pPr>
        <w:pStyle w:val="NoSpacing"/>
        <w:rPr>
          <w:rFonts w:ascii="Times New Roman" w:hAnsi="Times New Roman" w:cs="Times New Roman"/>
          <w:b/>
          <w:sz w:val="24"/>
          <w:szCs w:val="24"/>
        </w:rPr>
      </w:pPr>
    </w:p>
    <w:p w14:paraId="55A12AA5" w14:textId="45BF99CC" w:rsidR="009A6858" w:rsidRDefault="009A6858" w:rsidP="00F5169D">
      <w:pPr>
        <w:pStyle w:val="NoSpacing"/>
        <w:rPr>
          <w:rFonts w:ascii="Times New Roman" w:hAnsi="Times New Roman" w:cs="Times New Roman"/>
          <w:b/>
          <w:sz w:val="24"/>
          <w:szCs w:val="24"/>
        </w:rPr>
      </w:pPr>
    </w:p>
    <w:p w14:paraId="338F38FB" w14:textId="1889D612" w:rsidR="001F33EE" w:rsidRDefault="001F33EE" w:rsidP="00F5169D">
      <w:pPr>
        <w:pStyle w:val="NoSpacing"/>
        <w:rPr>
          <w:rFonts w:ascii="Times New Roman" w:hAnsi="Times New Roman" w:cs="Times New Roman"/>
          <w:b/>
          <w:sz w:val="24"/>
          <w:szCs w:val="24"/>
        </w:rPr>
      </w:pPr>
    </w:p>
    <w:p w14:paraId="7AE61EB1" w14:textId="6934684E" w:rsidR="001F33EE" w:rsidRDefault="001F33EE" w:rsidP="00F5169D">
      <w:pPr>
        <w:pStyle w:val="NoSpacing"/>
        <w:rPr>
          <w:rFonts w:ascii="Times New Roman" w:hAnsi="Times New Roman" w:cs="Times New Roman"/>
          <w:b/>
          <w:sz w:val="24"/>
          <w:szCs w:val="24"/>
        </w:rPr>
      </w:pPr>
    </w:p>
    <w:p w14:paraId="1A9269DB" w14:textId="7DF3B126" w:rsidR="001F33EE" w:rsidRDefault="001F33EE" w:rsidP="00F5169D">
      <w:pPr>
        <w:pStyle w:val="NoSpacing"/>
        <w:rPr>
          <w:rFonts w:ascii="Times New Roman" w:hAnsi="Times New Roman" w:cs="Times New Roman"/>
          <w:b/>
          <w:sz w:val="24"/>
          <w:szCs w:val="24"/>
        </w:rPr>
      </w:pPr>
    </w:p>
    <w:p w14:paraId="08E000A9" w14:textId="77777777" w:rsidR="001F33EE" w:rsidRDefault="001F33EE" w:rsidP="00F5169D">
      <w:pPr>
        <w:pStyle w:val="NoSpacing"/>
        <w:rPr>
          <w:rFonts w:ascii="Times New Roman" w:hAnsi="Times New Roman" w:cs="Times New Roman"/>
          <w:b/>
          <w:sz w:val="24"/>
          <w:szCs w:val="24"/>
        </w:rPr>
      </w:pPr>
    </w:p>
    <w:p w14:paraId="07815A81" w14:textId="10D2EB01" w:rsidR="00BC38B4" w:rsidRDefault="00BC38B4" w:rsidP="00F5169D">
      <w:pPr>
        <w:pStyle w:val="NoSpacing"/>
        <w:rPr>
          <w:rFonts w:ascii="Times New Roman" w:hAnsi="Times New Roman" w:cs="Times New Roman"/>
          <w:sz w:val="24"/>
          <w:szCs w:val="24"/>
        </w:rPr>
      </w:pPr>
      <w:r w:rsidRPr="00BC38B4">
        <w:rPr>
          <w:rFonts w:ascii="Times New Roman" w:hAnsi="Times New Roman" w:cs="Times New Roman"/>
          <w:sz w:val="24"/>
          <w:szCs w:val="24"/>
        </w:rPr>
        <w:t>Submitted by Katherine Drabiak, JD</w:t>
      </w:r>
    </w:p>
    <w:p w14:paraId="068E3F23" w14:textId="12115CC5" w:rsidR="00150473" w:rsidRDefault="00150473" w:rsidP="00F5169D">
      <w:pPr>
        <w:pStyle w:val="NoSpacing"/>
        <w:rPr>
          <w:rFonts w:ascii="Times New Roman" w:hAnsi="Times New Roman" w:cs="Times New Roman"/>
          <w:sz w:val="24"/>
          <w:szCs w:val="24"/>
        </w:rPr>
      </w:pPr>
      <w:r>
        <w:rPr>
          <w:rFonts w:ascii="Times New Roman" w:hAnsi="Times New Roman" w:cs="Times New Roman"/>
          <w:sz w:val="24"/>
          <w:szCs w:val="24"/>
        </w:rPr>
        <w:t>Assistant Professor</w:t>
      </w:r>
    </w:p>
    <w:p w14:paraId="3F20B860" w14:textId="1FA7AB34" w:rsidR="00150473" w:rsidRDefault="00150473" w:rsidP="00F5169D">
      <w:pPr>
        <w:pStyle w:val="NoSpacing"/>
        <w:rPr>
          <w:rFonts w:ascii="Times New Roman" w:hAnsi="Times New Roman" w:cs="Times New Roman"/>
          <w:sz w:val="24"/>
          <w:szCs w:val="24"/>
        </w:rPr>
      </w:pPr>
      <w:r>
        <w:rPr>
          <w:rFonts w:ascii="Times New Roman" w:hAnsi="Times New Roman" w:cs="Times New Roman"/>
          <w:sz w:val="24"/>
          <w:szCs w:val="24"/>
        </w:rPr>
        <w:t>College of Public Health</w:t>
      </w:r>
      <w:r w:rsidR="00962D7A">
        <w:rPr>
          <w:rFonts w:ascii="Times New Roman" w:hAnsi="Times New Roman" w:cs="Times New Roman"/>
          <w:sz w:val="24"/>
          <w:szCs w:val="24"/>
        </w:rPr>
        <w:t xml:space="preserve"> and College of Medicine</w:t>
      </w:r>
    </w:p>
    <w:p w14:paraId="268FE142" w14:textId="63A132C4" w:rsidR="00150473" w:rsidRDefault="00150473" w:rsidP="00F5169D">
      <w:pPr>
        <w:pStyle w:val="NoSpacing"/>
        <w:rPr>
          <w:rFonts w:ascii="Times New Roman" w:hAnsi="Times New Roman" w:cs="Times New Roman"/>
          <w:sz w:val="24"/>
          <w:szCs w:val="24"/>
        </w:rPr>
      </w:pPr>
      <w:r>
        <w:rPr>
          <w:rFonts w:ascii="Times New Roman" w:hAnsi="Times New Roman" w:cs="Times New Roman"/>
          <w:sz w:val="24"/>
          <w:szCs w:val="24"/>
        </w:rPr>
        <w:t>University of South Florida HEALTH</w:t>
      </w:r>
    </w:p>
    <w:p w14:paraId="3A257D1E" w14:textId="531378AB" w:rsidR="005409A2" w:rsidRDefault="00FC503B" w:rsidP="00F5169D">
      <w:pPr>
        <w:pStyle w:val="NoSpacing"/>
        <w:rPr>
          <w:rStyle w:val="Hyperlink"/>
          <w:rFonts w:ascii="Times New Roman" w:hAnsi="Times New Roman" w:cs="Times New Roman"/>
          <w:sz w:val="24"/>
          <w:szCs w:val="24"/>
        </w:rPr>
      </w:pPr>
      <w:hyperlink r:id="rId8" w:history="1">
        <w:r w:rsidR="00150473" w:rsidRPr="00134BEB">
          <w:rPr>
            <w:rStyle w:val="Hyperlink"/>
            <w:rFonts w:ascii="Times New Roman" w:hAnsi="Times New Roman" w:cs="Times New Roman"/>
            <w:sz w:val="24"/>
            <w:szCs w:val="24"/>
          </w:rPr>
          <w:t>kdrabiak@health.usf.edu</w:t>
        </w:r>
      </w:hyperlink>
    </w:p>
    <w:p w14:paraId="2D090A8B" w14:textId="77777777" w:rsidR="005409A2" w:rsidRDefault="005409A2">
      <w:pPr>
        <w:spacing w:after="160" w:line="259" w:lineRule="auto"/>
        <w:rPr>
          <w:rStyle w:val="Hyperlink"/>
          <w:rFonts w:eastAsiaTheme="minorHAnsi"/>
        </w:rPr>
      </w:pPr>
      <w:r>
        <w:rPr>
          <w:rStyle w:val="Hyperlink"/>
        </w:rPr>
        <w:br w:type="page"/>
      </w:r>
    </w:p>
    <w:p w14:paraId="096A6E3B" w14:textId="77777777" w:rsidR="00701582" w:rsidRDefault="00701582" w:rsidP="00F5169D">
      <w:pPr>
        <w:pStyle w:val="NoSpacing"/>
        <w:rPr>
          <w:rStyle w:val="Hyperlink"/>
          <w:rFonts w:ascii="Times New Roman" w:hAnsi="Times New Roman" w:cs="Times New Roman"/>
          <w:sz w:val="24"/>
          <w:szCs w:val="24"/>
        </w:rPr>
      </w:pPr>
    </w:p>
    <w:p w14:paraId="523D4A9E" w14:textId="77777777" w:rsidR="001F33EE" w:rsidRDefault="001F33EE" w:rsidP="00701582">
      <w:pPr>
        <w:spacing w:after="160" w:line="259" w:lineRule="auto"/>
        <w:rPr>
          <w:b/>
        </w:rPr>
      </w:pPr>
    </w:p>
    <w:p w14:paraId="0EEAFEC9" w14:textId="318EE6E9" w:rsidR="00701582" w:rsidRDefault="00701582" w:rsidP="00701582">
      <w:pPr>
        <w:spacing w:after="160" w:line="259" w:lineRule="auto"/>
        <w:rPr>
          <w:b/>
        </w:rPr>
      </w:pPr>
      <w:r>
        <w:rPr>
          <w:b/>
        </w:rPr>
        <w:t>AUTHOR BACKGROUND</w:t>
      </w:r>
    </w:p>
    <w:p w14:paraId="50E881A3" w14:textId="1D34F147" w:rsidR="00701582" w:rsidRDefault="00701582" w:rsidP="00701582">
      <w:pPr>
        <w:spacing w:after="160" w:line="259" w:lineRule="auto"/>
        <w:rPr>
          <w:b/>
        </w:rPr>
      </w:pPr>
    </w:p>
    <w:p w14:paraId="77402FAA" w14:textId="77777777" w:rsidR="00701582" w:rsidRDefault="00701582" w:rsidP="00701582">
      <w:pPr>
        <w:pStyle w:val="NoSpacing"/>
        <w:rPr>
          <w:rFonts w:ascii="Times New Roman" w:hAnsi="Times New Roman" w:cs="Times New Roman"/>
          <w:sz w:val="24"/>
          <w:szCs w:val="24"/>
        </w:rPr>
      </w:pPr>
      <w:r w:rsidRPr="00BC38B4">
        <w:rPr>
          <w:rFonts w:ascii="Times New Roman" w:hAnsi="Times New Roman" w:cs="Times New Roman"/>
          <w:sz w:val="24"/>
          <w:szCs w:val="24"/>
        </w:rPr>
        <w:t>Katherine Drabiak, JD</w:t>
      </w:r>
    </w:p>
    <w:p w14:paraId="747182B1" w14:textId="77777777" w:rsidR="00701582" w:rsidRDefault="00701582" w:rsidP="00701582">
      <w:pPr>
        <w:pStyle w:val="NoSpacing"/>
        <w:rPr>
          <w:rFonts w:ascii="Times New Roman" w:hAnsi="Times New Roman" w:cs="Times New Roman"/>
          <w:sz w:val="24"/>
          <w:szCs w:val="24"/>
        </w:rPr>
      </w:pPr>
      <w:r>
        <w:rPr>
          <w:rFonts w:ascii="Times New Roman" w:hAnsi="Times New Roman" w:cs="Times New Roman"/>
          <w:sz w:val="24"/>
          <w:szCs w:val="24"/>
        </w:rPr>
        <w:t>Assistant Professor</w:t>
      </w:r>
    </w:p>
    <w:p w14:paraId="41AFBCE8" w14:textId="77777777" w:rsidR="00701582" w:rsidRDefault="00701582" w:rsidP="00701582">
      <w:pPr>
        <w:pStyle w:val="NoSpacing"/>
        <w:rPr>
          <w:rFonts w:ascii="Times New Roman" w:hAnsi="Times New Roman" w:cs="Times New Roman"/>
          <w:sz w:val="24"/>
          <w:szCs w:val="24"/>
        </w:rPr>
      </w:pPr>
      <w:r>
        <w:rPr>
          <w:rFonts w:ascii="Times New Roman" w:hAnsi="Times New Roman" w:cs="Times New Roman"/>
          <w:sz w:val="24"/>
          <w:szCs w:val="24"/>
        </w:rPr>
        <w:t>College of Public Health and College of Medicine</w:t>
      </w:r>
    </w:p>
    <w:p w14:paraId="0DEEECD2" w14:textId="77777777" w:rsidR="00701582" w:rsidRDefault="00701582" w:rsidP="00701582">
      <w:pPr>
        <w:pStyle w:val="NoSpacing"/>
        <w:rPr>
          <w:rFonts w:ascii="Times New Roman" w:hAnsi="Times New Roman" w:cs="Times New Roman"/>
          <w:sz w:val="24"/>
          <w:szCs w:val="24"/>
        </w:rPr>
      </w:pPr>
      <w:r>
        <w:rPr>
          <w:rFonts w:ascii="Times New Roman" w:hAnsi="Times New Roman" w:cs="Times New Roman"/>
          <w:sz w:val="24"/>
          <w:szCs w:val="24"/>
        </w:rPr>
        <w:t>University of South Florida HEALTH</w:t>
      </w:r>
    </w:p>
    <w:p w14:paraId="734B2646" w14:textId="7916D7D3" w:rsidR="00701582" w:rsidRDefault="00FC503B" w:rsidP="00701582">
      <w:pPr>
        <w:pStyle w:val="NoSpacing"/>
        <w:rPr>
          <w:rStyle w:val="Hyperlink"/>
        </w:rPr>
      </w:pPr>
      <w:hyperlink r:id="rId9" w:history="1">
        <w:r w:rsidR="00701582" w:rsidRPr="00134BEB">
          <w:rPr>
            <w:rStyle w:val="Hyperlink"/>
            <w:rFonts w:ascii="Times New Roman" w:hAnsi="Times New Roman" w:cs="Times New Roman"/>
            <w:sz w:val="24"/>
            <w:szCs w:val="24"/>
          </w:rPr>
          <w:t>kdrabiak@health.usf.edu</w:t>
        </w:r>
      </w:hyperlink>
    </w:p>
    <w:p w14:paraId="1318F521" w14:textId="77777777" w:rsidR="00701582" w:rsidRPr="00701582" w:rsidRDefault="00701582" w:rsidP="00701582">
      <w:pPr>
        <w:spacing w:after="160" w:line="259" w:lineRule="auto"/>
      </w:pPr>
    </w:p>
    <w:p w14:paraId="683D0F6D" w14:textId="77777777" w:rsidR="00701582" w:rsidRPr="00E64372" w:rsidRDefault="00701582" w:rsidP="00701582">
      <w:pPr>
        <w:pStyle w:val="NoSpacing"/>
        <w:rPr>
          <w:rFonts w:ascii="Times New Roman" w:hAnsi="Times New Roman" w:cs="Times New Roman"/>
          <w:sz w:val="24"/>
          <w:szCs w:val="24"/>
        </w:rPr>
      </w:pPr>
    </w:p>
    <w:p w14:paraId="0985C176" w14:textId="08582F25" w:rsidR="00701582" w:rsidRPr="00E64372" w:rsidRDefault="00701582" w:rsidP="00701582">
      <w:pPr>
        <w:pStyle w:val="NoSpacing"/>
        <w:rPr>
          <w:i/>
          <w:kern w:val="28"/>
          <w:sz w:val="24"/>
          <w:szCs w:val="24"/>
        </w:rPr>
      </w:pPr>
      <w:r>
        <w:rPr>
          <w:rFonts w:ascii="Times New Roman" w:hAnsi="Times New Roman" w:cs="Times New Roman"/>
          <w:sz w:val="24"/>
          <w:szCs w:val="24"/>
        </w:rPr>
        <w:t>Drabiak is</w:t>
      </w:r>
      <w:r w:rsidRPr="00E64372">
        <w:rPr>
          <w:rFonts w:ascii="Times New Roman" w:hAnsi="Times New Roman" w:cs="Times New Roman"/>
          <w:sz w:val="24"/>
          <w:szCs w:val="24"/>
        </w:rPr>
        <w:t xml:space="preserve"> Assistant Professor in the Colleges of Public Health and Medicine at the University of South Florida </w:t>
      </w:r>
      <w:r>
        <w:rPr>
          <w:rFonts w:ascii="Times New Roman" w:hAnsi="Times New Roman" w:cs="Times New Roman"/>
          <w:sz w:val="24"/>
          <w:szCs w:val="24"/>
        </w:rPr>
        <w:t>HEALTH in the United States.  Her</w:t>
      </w:r>
      <w:r w:rsidRPr="00E64372">
        <w:rPr>
          <w:rFonts w:ascii="Times New Roman" w:hAnsi="Times New Roman" w:cs="Times New Roman"/>
          <w:sz w:val="24"/>
          <w:szCs w:val="24"/>
        </w:rPr>
        <w:t xml:space="preserve"> teaching and research </w:t>
      </w:r>
      <w:proofErr w:type="gramStart"/>
      <w:r w:rsidRPr="00E64372">
        <w:rPr>
          <w:rFonts w:ascii="Times New Roman" w:hAnsi="Times New Roman" w:cs="Times New Roman"/>
          <w:sz w:val="24"/>
          <w:szCs w:val="24"/>
        </w:rPr>
        <w:t>focuses</w:t>
      </w:r>
      <w:proofErr w:type="gramEnd"/>
      <w:r w:rsidRPr="00E64372">
        <w:rPr>
          <w:rFonts w:ascii="Times New Roman" w:hAnsi="Times New Roman" w:cs="Times New Roman"/>
          <w:sz w:val="24"/>
          <w:szCs w:val="24"/>
          <w:shd w:val="clear" w:color="auto" w:fill="FFFFFF"/>
        </w:rPr>
        <w:t xml:space="preserve"> in health law, bioethics, and the regulation of emerging technology. </w:t>
      </w:r>
      <w:r>
        <w:rPr>
          <w:rFonts w:ascii="Times New Roman" w:hAnsi="Times New Roman" w:cs="Times New Roman"/>
          <w:sz w:val="24"/>
          <w:szCs w:val="24"/>
          <w:shd w:val="clear" w:color="auto" w:fill="FFFFFF"/>
        </w:rPr>
        <w:t>She is</w:t>
      </w:r>
      <w:r w:rsidRPr="00E64372">
        <w:rPr>
          <w:rFonts w:ascii="Times New Roman" w:hAnsi="Times New Roman" w:cs="Times New Roman"/>
          <w:sz w:val="24"/>
          <w:szCs w:val="24"/>
          <w:shd w:val="clear" w:color="auto" w:fill="FFFFFF"/>
        </w:rPr>
        <w:t xml:space="preserve"> the author of several articles</w:t>
      </w:r>
      <w:r w:rsidRPr="00E64372">
        <w:rPr>
          <w:rStyle w:val="EndnoteReference"/>
          <w:rFonts w:ascii="Times New Roman" w:hAnsi="Times New Roman" w:cs="Times New Roman"/>
          <w:sz w:val="24"/>
          <w:szCs w:val="24"/>
          <w:shd w:val="clear" w:color="auto" w:fill="FFFFFF"/>
        </w:rPr>
        <w:endnoteReference w:id="1"/>
      </w:r>
      <w:r w:rsidRPr="00E64372">
        <w:rPr>
          <w:rFonts w:ascii="Times New Roman" w:hAnsi="Times New Roman" w:cs="Times New Roman"/>
          <w:sz w:val="24"/>
          <w:szCs w:val="24"/>
          <w:shd w:val="clear" w:color="auto" w:fill="FFFFFF"/>
        </w:rPr>
        <w:t xml:space="preserve"> relevant to human genome editing and Mitochondrial Replacement Therapy, a signatory to the Civil Society Statement to the Organizers of the Second International Summit on Human Genome Editing,</w:t>
      </w:r>
      <w:r>
        <w:rPr>
          <w:rStyle w:val="EndnoteReference"/>
          <w:rFonts w:ascii="Times New Roman" w:hAnsi="Times New Roman" w:cs="Times New Roman"/>
          <w:sz w:val="24"/>
          <w:szCs w:val="24"/>
          <w:shd w:val="clear" w:color="auto" w:fill="FFFFFF"/>
        </w:rPr>
        <w:endnoteReference w:id="2"/>
      </w:r>
      <w:r w:rsidRPr="00E64372">
        <w:rPr>
          <w:rFonts w:ascii="Times New Roman" w:hAnsi="Times New Roman" w:cs="Times New Roman"/>
          <w:sz w:val="24"/>
          <w:szCs w:val="24"/>
          <w:shd w:val="clear" w:color="auto" w:fill="FFFFFF"/>
        </w:rPr>
        <w:t xml:space="preserve"> and a working group member of the </w:t>
      </w:r>
      <w:proofErr w:type="spellStart"/>
      <w:r w:rsidRPr="00E64372">
        <w:rPr>
          <w:rFonts w:ascii="Times New Roman" w:hAnsi="Times New Roman" w:cs="Times New Roman"/>
          <w:sz w:val="24"/>
          <w:szCs w:val="24"/>
          <w:shd w:val="clear" w:color="auto" w:fill="FFFFFF"/>
        </w:rPr>
        <w:t>Brocher</w:t>
      </w:r>
      <w:proofErr w:type="spellEnd"/>
      <w:r w:rsidRPr="00E64372">
        <w:rPr>
          <w:rFonts w:ascii="Times New Roman" w:hAnsi="Times New Roman" w:cs="Times New Roman"/>
          <w:sz w:val="24"/>
          <w:szCs w:val="24"/>
          <w:shd w:val="clear" w:color="auto" w:fill="FFFFFF"/>
        </w:rPr>
        <w:t xml:space="preserve"> Accord,</w:t>
      </w:r>
      <w:r>
        <w:rPr>
          <w:rStyle w:val="EndnoteReference"/>
          <w:rFonts w:ascii="Times New Roman" w:hAnsi="Times New Roman" w:cs="Times New Roman"/>
          <w:sz w:val="24"/>
          <w:szCs w:val="24"/>
          <w:shd w:val="clear" w:color="auto" w:fill="FFFFFF"/>
        </w:rPr>
        <w:endnoteReference w:id="3"/>
      </w:r>
      <w:r w:rsidRPr="00E64372">
        <w:rPr>
          <w:rFonts w:ascii="Times New Roman" w:hAnsi="Times New Roman" w:cs="Times New Roman"/>
          <w:sz w:val="24"/>
          <w:szCs w:val="24"/>
          <w:shd w:val="clear" w:color="auto" w:fill="FFFFFF"/>
        </w:rPr>
        <w:t xml:space="preserve"> an international consortium of scientists, academics, policymakers and ethicists dedicated to responsible governance of genomics technologies involving modifications to the human germline.</w:t>
      </w:r>
    </w:p>
    <w:p w14:paraId="2B8D7E7A" w14:textId="77777777" w:rsidR="002F7FD3" w:rsidRDefault="002F7FD3" w:rsidP="00F5169D">
      <w:pPr>
        <w:pStyle w:val="NoSpacing"/>
        <w:rPr>
          <w:rStyle w:val="Hyperlink"/>
          <w:rFonts w:ascii="Times New Roman" w:hAnsi="Times New Roman" w:cs="Times New Roman"/>
          <w:sz w:val="24"/>
          <w:szCs w:val="24"/>
        </w:rPr>
      </w:pPr>
    </w:p>
    <w:p w14:paraId="6E007EC8" w14:textId="77777777" w:rsidR="002F7FD3" w:rsidRDefault="002F7FD3">
      <w:pPr>
        <w:spacing w:after="160" w:line="259" w:lineRule="auto"/>
        <w:rPr>
          <w:rStyle w:val="Hyperlink"/>
          <w:rFonts w:eastAsiaTheme="minorHAnsi"/>
        </w:rPr>
      </w:pPr>
      <w:r>
        <w:rPr>
          <w:rStyle w:val="Hyperlink"/>
        </w:rPr>
        <w:br w:type="page"/>
      </w:r>
    </w:p>
    <w:p w14:paraId="2150C9D4" w14:textId="27130FB7" w:rsidR="002F7FD3" w:rsidRPr="00421D69" w:rsidRDefault="002F7FD3" w:rsidP="00421D69">
      <w:pPr>
        <w:jc w:val="center"/>
        <w:rPr>
          <w:b/>
          <w:sz w:val="32"/>
          <w:szCs w:val="32"/>
        </w:rPr>
      </w:pPr>
      <w:r w:rsidRPr="00421D69">
        <w:rPr>
          <w:b/>
          <w:sz w:val="32"/>
          <w:szCs w:val="32"/>
        </w:rPr>
        <w:lastRenderedPageBreak/>
        <w:t>TABLE OF CONTENTS</w:t>
      </w:r>
    </w:p>
    <w:p w14:paraId="1C54FCCB" w14:textId="393BE9AE" w:rsidR="00701582" w:rsidRDefault="00701582">
      <w:pPr>
        <w:spacing w:after="160" w:line="259" w:lineRule="auto"/>
      </w:pPr>
    </w:p>
    <w:p w14:paraId="4A809306" w14:textId="09552279" w:rsidR="00421D69" w:rsidRDefault="00421D69">
      <w:pPr>
        <w:spacing w:after="160" w:line="259" w:lineRule="auto"/>
      </w:pPr>
    </w:p>
    <w:p w14:paraId="2218344E" w14:textId="77777777" w:rsidR="00421D69" w:rsidRDefault="00421D69">
      <w:pPr>
        <w:spacing w:after="160" w:line="259" w:lineRule="auto"/>
      </w:pPr>
    </w:p>
    <w:p w14:paraId="72794E83" w14:textId="5F021546" w:rsidR="00EA0555" w:rsidRDefault="00EA0555">
      <w:pPr>
        <w:spacing w:after="160" w:line="259" w:lineRule="auto"/>
      </w:pPr>
      <w:r>
        <w:t>Brief Summary</w:t>
      </w:r>
      <w:r w:rsidR="00133079">
        <w:t>……………………………………………………………………………3-7</w:t>
      </w:r>
    </w:p>
    <w:p w14:paraId="64BB98D0" w14:textId="1BC73E65" w:rsidR="00EA0555" w:rsidRDefault="00EA0555">
      <w:pPr>
        <w:spacing w:after="160" w:line="259" w:lineRule="auto"/>
      </w:pPr>
      <w:r>
        <w:br/>
        <w:t>Descriptive Policy Brief</w:t>
      </w:r>
      <w:r w:rsidR="00133079">
        <w:t>………………………………………………………………….6-15</w:t>
      </w:r>
    </w:p>
    <w:p w14:paraId="5D7C3F8F" w14:textId="0F494A8F" w:rsidR="00EA0555" w:rsidRDefault="00EA0555">
      <w:pPr>
        <w:spacing w:after="160" w:line="259" w:lineRule="auto"/>
      </w:pPr>
    </w:p>
    <w:p w14:paraId="09BE175C" w14:textId="1AEACCEF" w:rsidR="00EA0555" w:rsidRDefault="00EA0555">
      <w:pPr>
        <w:spacing w:after="160" w:line="259" w:lineRule="auto"/>
      </w:pPr>
      <w:r>
        <w:t>References</w:t>
      </w:r>
      <w:r w:rsidR="00421D69">
        <w:t>………</w:t>
      </w:r>
      <w:r w:rsidR="00133079">
        <w:t>………………………………………………………………………...16-19</w:t>
      </w:r>
    </w:p>
    <w:p w14:paraId="56FBB0CD" w14:textId="26FE27E9" w:rsidR="00EA0555" w:rsidRDefault="00EA0555">
      <w:pPr>
        <w:spacing w:after="160" w:line="259" w:lineRule="auto"/>
      </w:pPr>
    </w:p>
    <w:p w14:paraId="7F4DDA93" w14:textId="73F6EC7E" w:rsidR="00EA0555" w:rsidRDefault="00831F47">
      <w:pPr>
        <w:spacing w:after="160" w:line="259" w:lineRule="auto"/>
      </w:pPr>
      <w:r>
        <w:t xml:space="preserve">Additional Resources: </w:t>
      </w:r>
    </w:p>
    <w:p w14:paraId="5A9CB21A" w14:textId="77777777" w:rsidR="00421D69" w:rsidRDefault="00421D69">
      <w:pPr>
        <w:spacing w:after="160" w:line="259" w:lineRule="auto"/>
      </w:pPr>
    </w:p>
    <w:p w14:paraId="552A796E" w14:textId="3F30FFC2" w:rsidR="00421D69" w:rsidRPr="00421D69" w:rsidRDefault="00421D69" w:rsidP="00421D69">
      <w:pPr>
        <w:widowControl w:val="0"/>
        <w:overflowPunct w:val="0"/>
        <w:autoSpaceDE w:val="0"/>
        <w:autoSpaceDN w:val="0"/>
        <w:adjustRightInd w:val="0"/>
        <w:ind w:left="720"/>
        <w:outlineLvl w:val="0"/>
        <w:rPr>
          <w:bCs/>
          <w:kern w:val="28"/>
        </w:rPr>
      </w:pPr>
      <w:r w:rsidRPr="00421D69">
        <w:t xml:space="preserve">Katherine </w:t>
      </w:r>
      <w:r w:rsidRPr="00421D69">
        <w:rPr>
          <w:bCs/>
          <w:kern w:val="28"/>
        </w:rPr>
        <w:t xml:space="preserve">Drabiak, </w:t>
      </w:r>
      <w:r w:rsidRPr="00421D69">
        <w:rPr>
          <w:bCs/>
          <w:i/>
          <w:kern w:val="28"/>
        </w:rPr>
        <w:t>Untangling the Promises of Human Genome Editing</w:t>
      </w:r>
      <w:r w:rsidRPr="00421D69">
        <w:rPr>
          <w:bCs/>
          <w:kern w:val="28"/>
        </w:rPr>
        <w:t xml:space="preserve">, 46 </w:t>
      </w:r>
      <w:r w:rsidRPr="00421D69">
        <w:rPr>
          <w:bCs/>
          <w:smallCaps/>
          <w:kern w:val="28"/>
        </w:rPr>
        <w:t>Journal of Law, Medicine &amp; Ethics</w:t>
      </w:r>
      <w:r w:rsidRPr="00421D69">
        <w:rPr>
          <w:bCs/>
          <w:kern w:val="28"/>
        </w:rPr>
        <w:t xml:space="preserve"> 991-1009 (2018).  </w:t>
      </w:r>
    </w:p>
    <w:p w14:paraId="59815F67" w14:textId="77777777" w:rsidR="00421D69" w:rsidRPr="00421D69" w:rsidRDefault="00421D69" w:rsidP="00421D69">
      <w:pPr>
        <w:widowControl w:val="0"/>
        <w:overflowPunct w:val="0"/>
        <w:autoSpaceDE w:val="0"/>
        <w:autoSpaceDN w:val="0"/>
        <w:adjustRightInd w:val="0"/>
        <w:ind w:left="720"/>
        <w:outlineLvl w:val="0"/>
        <w:rPr>
          <w:b/>
          <w:bCs/>
          <w:kern w:val="28"/>
        </w:rPr>
      </w:pPr>
    </w:p>
    <w:p w14:paraId="5335E894" w14:textId="09611C21" w:rsidR="00421D69" w:rsidRPr="00421D69" w:rsidRDefault="00421D69" w:rsidP="00421D69">
      <w:pPr>
        <w:widowControl w:val="0"/>
        <w:overflowPunct w:val="0"/>
        <w:autoSpaceDE w:val="0"/>
        <w:autoSpaceDN w:val="0"/>
        <w:adjustRightInd w:val="0"/>
        <w:ind w:left="720"/>
        <w:rPr>
          <w:kern w:val="28"/>
        </w:rPr>
      </w:pPr>
      <w:r w:rsidRPr="00421D69">
        <w:rPr>
          <w:kern w:val="28"/>
        </w:rPr>
        <w:t xml:space="preserve">Katherine Drabiak, </w:t>
      </w:r>
      <w:r w:rsidRPr="00421D69">
        <w:rPr>
          <w:i/>
          <w:kern w:val="28"/>
        </w:rPr>
        <w:t xml:space="preserve">Emerging Governance of Mitochondrial Replacement Therapy: Assessing Coherence Between Scientific Evidence and Policy Outcomes, </w:t>
      </w:r>
      <w:r w:rsidRPr="00421D69">
        <w:rPr>
          <w:kern w:val="28"/>
        </w:rPr>
        <w:t xml:space="preserve">20(1) </w:t>
      </w:r>
      <w:r w:rsidRPr="00421D69">
        <w:rPr>
          <w:smallCaps/>
          <w:kern w:val="28"/>
        </w:rPr>
        <w:t>journal of health care law 1-61(</w:t>
      </w:r>
      <w:r w:rsidRPr="00421D69">
        <w:rPr>
          <w:kern w:val="28"/>
        </w:rPr>
        <w:t>2018).</w:t>
      </w:r>
    </w:p>
    <w:p w14:paraId="6D80D3DC" w14:textId="08C4FC9C" w:rsidR="00421D69" w:rsidRPr="00421D69" w:rsidRDefault="00421D69" w:rsidP="00421D69">
      <w:pPr>
        <w:widowControl w:val="0"/>
        <w:overflowPunct w:val="0"/>
        <w:autoSpaceDE w:val="0"/>
        <w:autoSpaceDN w:val="0"/>
        <w:adjustRightInd w:val="0"/>
        <w:ind w:left="720"/>
        <w:rPr>
          <w:kern w:val="28"/>
        </w:rPr>
      </w:pPr>
    </w:p>
    <w:p w14:paraId="081B9729" w14:textId="732803DE" w:rsidR="00421D69" w:rsidRPr="00421D69" w:rsidRDefault="00421D69" w:rsidP="00421D69">
      <w:pPr>
        <w:widowControl w:val="0"/>
        <w:overflowPunct w:val="0"/>
        <w:autoSpaceDE w:val="0"/>
        <w:autoSpaceDN w:val="0"/>
        <w:adjustRightInd w:val="0"/>
        <w:ind w:left="720"/>
        <w:rPr>
          <w:kern w:val="28"/>
        </w:rPr>
      </w:pPr>
      <w:r w:rsidRPr="00421D69">
        <w:rPr>
          <w:kern w:val="28"/>
        </w:rPr>
        <w:t xml:space="preserve">Katherine Drabiak, Engineering Consensus in the Development of Genome Editing Policy, </w:t>
      </w:r>
      <w:r w:rsidRPr="001F33EE">
        <w:rPr>
          <w:smallCaps/>
          <w:kern w:val="28"/>
        </w:rPr>
        <w:t>The Hastings Center Bioethics Forum</w:t>
      </w:r>
      <w:r w:rsidRPr="00421D69">
        <w:rPr>
          <w:kern w:val="28"/>
        </w:rPr>
        <w:t xml:space="preserve"> (March 14, 2017).</w:t>
      </w:r>
    </w:p>
    <w:p w14:paraId="73FF42CD" w14:textId="6677AC07" w:rsidR="00421D69" w:rsidRPr="00421D69" w:rsidRDefault="00421D69" w:rsidP="00421D69">
      <w:pPr>
        <w:widowControl w:val="0"/>
        <w:overflowPunct w:val="0"/>
        <w:autoSpaceDE w:val="0"/>
        <w:autoSpaceDN w:val="0"/>
        <w:adjustRightInd w:val="0"/>
        <w:ind w:left="720"/>
        <w:rPr>
          <w:kern w:val="28"/>
        </w:rPr>
      </w:pPr>
    </w:p>
    <w:p w14:paraId="180F6BE7" w14:textId="30762547" w:rsidR="00421D69" w:rsidRPr="00421D69" w:rsidRDefault="00421D69" w:rsidP="00421D69">
      <w:pPr>
        <w:widowControl w:val="0"/>
        <w:overflowPunct w:val="0"/>
        <w:autoSpaceDE w:val="0"/>
        <w:autoSpaceDN w:val="0"/>
        <w:adjustRightInd w:val="0"/>
        <w:ind w:left="720"/>
        <w:rPr>
          <w:kern w:val="28"/>
        </w:rPr>
      </w:pPr>
      <w:r w:rsidRPr="00421D69">
        <w:rPr>
          <w:shd w:val="clear" w:color="auto" w:fill="FFFFFF"/>
        </w:rPr>
        <w:t xml:space="preserve">Civil Society Statement to the Organizers of the Second International Summit on Human Genome Editing, </w:t>
      </w:r>
      <w:r w:rsidRPr="001F33EE">
        <w:rPr>
          <w:smallCaps/>
          <w:shd w:val="clear" w:color="auto" w:fill="FFFFFF"/>
        </w:rPr>
        <w:t>Center for Human Genetics and Society</w:t>
      </w:r>
      <w:r w:rsidRPr="00421D69">
        <w:rPr>
          <w:shd w:val="clear" w:color="auto" w:fill="FFFFFF"/>
        </w:rPr>
        <w:t xml:space="preserve"> (November 28, 2018).</w:t>
      </w:r>
    </w:p>
    <w:p w14:paraId="542542D9" w14:textId="692241A4" w:rsidR="00421D69" w:rsidRDefault="00421D69" w:rsidP="00421D69">
      <w:pPr>
        <w:widowControl w:val="0"/>
        <w:overflowPunct w:val="0"/>
        <w:autoSpaceDE w:val="0"/>
        <w:autoSpaceDN w:val="0"/>
        <w:adjustRightInd w:val="0"/>
        <w:rPr>
          <w:kern w:val="28"/>
          <w:sz w:val="22"/>
          <w:szCs w:val="22"/>
        </w:rPr>
      </w:pPr>
    </w:p>
    <w:p w14:paraId="623D2CE2" w14:textId="77777777" w:rsidR="00421D69" w:rsidRDefault="00421D69" w:rsidP="00421D69">
      <w:pPr>
        <w:widowControl w:val="0"/>
        <w:overflowPunct w:val="0"/>
        <w:autoSpaceDE w:val="0"/>
        <w:autoSpaceDN w:val="0"/>
        <w:adjustRightInd w:val="0"/>
        <w:rPr>
          <w:i/>
          <w:kern w:val="28"/>
          <w:sz w:val="22"/>
          <w:szCs w:val="22"/>
        </w:rPr>
      </w:pPr>
    </w:p>
    <w:p w14:paraId="6549ECFE" w14:textId="0FAA2B1D" w:rsidR="00421D69" w:rsidRDefault="00421D69">
      <w:pPr>
        <w:spacing w:after="160" w:line="259" w:lineRule="auto"/>
      </w:pPr>
    </w:p>
    <w:p w14:paraId="4FF8F967" w14:textId="4B0C7204" w:rsidR="009A6858" w:rsidRPr="00701582" w:rsidRDefault="002F7FD3" w:rsidP="00701582">
      <w:pPr>
        <w:spacing w:after="160" w:line="259" w:lineRule="auto"/>
      </w:pPr>
      <w:r>
        <w:br w:type="page"/>
      </w:r>
    </w:p>
    <w:p w14:paraId="2FA3A2FF" w14:textId="39F2A409" w:rsidR="00701582" w:rsidRPr="00701582" w:rsidRDefault="00701582" w:rsidP="00701582">
      <w:pPr>
        <w:pStyle w:val="NoSpacing"/>
        <w:jc w:val="center"/>
        <w:rPr>
          <w:rFonts w:ascii="Times New Roman" w:hAnsi="Times New Roman" w:cs="Times New Roman"/>
          <w:b/>
          <w:sz w:val="32"/>
          <w:szCs w:val="24"/>
          <w:shd w:val="clear" w:color="auto" w:fill="FFFFFF"/>
        </w:rPr>
      </w:pPr>
      <w:r w:rsidRPr="00701582">
        <w:rPr>
          <w:rFonts w:ascii="Times New Roman" w:hAnsi="Times New Roman" w:cs="Times New Roman"/>
          <w:b/>
          <w:sz w:val="32"/>
          <w:szCs w:val="24"/>
          <w:shd w:val="clear" w:color="auto" w:fill="FFFFFF"/>
        </w:rPr>
        <w:lastRenderedPageBreak/>
        <w:t>BRIEF SUMMARY</w:t>
      </w:r>
    </w:p>
    <w:p w14:paraId="0B1AE7D6" w14:textId="77777777" w:rsidR="00701582" w:rsidRDefault="00701582" w:rsidP="009A6858">
      <w:pPr>
        <w:pStyle w:val="NoSpacing"/>
        <w:rPr>
          <w:rFonts w:ascii="Times New Roman" w:hAnsi="Times New Roman" w:cs="Times New Roman"/>
          <w:b/>
          <w:sz w:val="24"/>
          <w:szCs w:val="24"/>
          <w:shd w:val="clear" w:color="auto" w:fill="FFFFFF"/>
        </w:rPr>
      </w:pPr>
    </w:p>
    <w:p w14:paraId="2BED1F15" w14:textId="77777777" w:rsidR="005A7E57" w:rsidRDefault="005A7E57" w:rsidP="009A6858">
      <w:pPr>
        <w:pStyle w:val="NoSpacing"/>
        <w:rPr>
          <w:rFonts w:ascii="Times New Roman" w:hAnsi="Times New Roman" w:cs="Times New Roman"/>
          <w:b/>
          <w:i/>
          <w:sz w:val="24"/>
          <w:szCs w:val="24"/>
          <w:shd w:val="clear" w:color="auto" w:fill="FFFFFF"/>
        </w:rPr>
      </w:pPr>
    </w:p>
    <w:p w14:paraId="79CB15F3" w14:textId="77777777" w:rsidR="005A7E57" w:rsidRDefault="005A7E57" w:rsidP="009A6858">
      <w:pPr>
        <w:pStyle w:val="NoSpacing"/>
        <w:rPr>
          <w:rFonts w:ascii="Times New Roman" w:hAnsi="Times New Roman" w:cs="Times New Roman"/>
          <w:b/>
          <w:i/>
          <w:sz w:val="24"/>
          <w:szCs w:val="24"/>
          <w:shd w:val="clear" w:color="auto" w:fill="FFFFFF"/>
        </w:rPr>
      </w:pPr>
    </w:p>
    <w:p w14:paraId="0A6D2EC0" w14:textId="583DAEA2" w:rsidR="005A7E57" w:rsidRPr="005A7E57" w:rsidRDefault="005A7E57" w:rsidP="009A6858">
      <w:pPr>
        <w:pStyle w:val="NoSpacing"/>
        <w:rPr>
          <w:rFonts w:ascii="Times New Roman" w:hAnsi="Times New Roman" w:cs="Times New Roman"/>
          <w:b/>
          <w:i/>
          <w:caps/>
          <w:sz w:val="24"/>
          <w:szCs w:val="24"/>
          <w:shd w:val="clear" w:color="auto" w:fill="FFFFFF"/>
        </w:rPr>
      </w:pPr>
      <w:r w:rsidRPr="005A7E57">
        <w:rPr>
          <w:rFonts w:ascii="Times New Roman" w:hAnsi="Times New Roman" w:cs="Times New Roman"/>
          <w:b/>
          <w:i/>
          <w:caps/>
          <w:sz w:val="24"/>
          <w:szCs w:val="24"/>
          <w:shd w:val="clear" w:color="auto" w:fill="FFFFFF"/>
        </w:rPr>
        <w:t>Background:</w:t>
      </w:r>
    </w:p>
    <w:p w14:paraId="5161569D" w14:textId="1E44B61B" w:rsidR="005A7E57" w:rsidRDefault="005A7E57" w:rsidP="009A6858">
      <w:pPr>
        <w:pStyle w:val="NoSpacing"/>
        <w:rPr>
          <w:rFonts w:ascii="Times New Roman" w:hAnsi="Times New Roman" w:cs="Times New Roman"/>
          <w:b/>
          <w:i/>
          <w:sz w:val="24"/>
          <w:szCs w:val="24"/>
          <w:shd w:val="clear" w:color="auto" w:fill="FFFFFF"/>
        </w:rPr>
      </w:pPr>
    </w:p>
    <w:p w14:paraId="3C7E24BF" w14:textId="69E917DB" w:rsidR="005A7E57" w:rsidRDefault="005A7E57" w:rsidP="009A6858">
      <w:pPr>
        <w:pStyle w:val="NoSpacing"/>
        <w:rPr>
          <w:rFonts w:ascii="Times New Roman" w:hAnsi="Times New Roman" w:cs="Times New Roman"/>
          <w:sz w:val="24"/>
          <w:szCs w:val="24"/>
        </w:rPr>
      </w:pPr>
      <w:bookmarkStart w:id="0" w:name="_GoBack"/>
      <w:r w:rsidRPr="002F53F4">
        <w:rPr>
          <w:rFonts w:ascii="Times New Roman" w:hAnsi="Times New Roman" w:cs="Times New Roman"/>
          <w:sz w:val="24"/>
          <w:szCs w:val="24"/>
        </w:rPr>
        <w:t xml:space="preserve">On June 4, the House Appropriations Committee </w:t>
      </w:r>
      <w:r>
        <w:rPr>
          <w:rFonts w:ascii="Times New Roman" w:hAnsi="Times New Roman" w:cs="Times New Roman"/>
          <w:sz w:val="24"/>
          <w:szCs w:val="24"/>
        </w:rPr>
        <w:t xml:space="preserve">cast a bipartisan </w:t>
      </w:r>
      <w:r w:rsidRPr="002F53F4">
        <w:rPr>
          <w:rFonts w:ascii="Times New Roman" w:hAnsi="Times New Roman" w:cs="Times New Roman"/>
          <w:sz w:val="24"/>
          <w:szCs w:val="24"/>
        </w:rPr>
        <w:t xml:space="preserve">vote to reinstate </w:t>
      </w:r>
      <w:r>
        <w:rPr>
          <w:rFonts w:ascii="Times New Roman" w:hAnsi="Times New Roman" w:cs="Times New Roman"/>
          <w:sz w:val="24"/>
          <w:szCs w:val="24"/>
        </w:rPr>
        <w:t>a</w:t>
      </w:r>
      <w:r w:rsidRPr="002F53F4">
        <w:rPr>
          <w:rFonts w:ascii="Times New Roman" w:hAnsi="Times New Roman" w:cs="Times New Roman"/>
          <w:sz w:val="24"/>
          <w:szCs w:val="24"/>
        </w:rPr>
        <w:t xml:space="preserve"> rider to the Consolidated Appropriations Act that prohibits the FDA </w:t>
      </w:r>
      <w:r>
        <w:rPr>
          <w:rFonts w:ascii="Times New Roman" w:hAnsi="Times New Roman" w:cs="Times New Roman"/>
          <w:sz w:val="24"/>
          <w:szCs w:val="24"/>
        </w:rPr>
        <w:t>from</w:t>
      </w:r>
      <w:r w:rsidRPr="002F53F4">
        <w:rPr>
          <w:rFonts w:ascii="Times New Roman" w:hAnsi="Times New Roman" w:cs="Times New Roman"/>
          <w:sz w:val="24"/>
          <w:szCs w:val="24"/>
        </w:rPr>
        <w:t xml:space="preserve"> review</w:t>
      </w:r>
      <w:r>
        <w:rPr>
          <w:rFonts w:ascii="Times New Roman" w:hAnsi="Times New Roman" w:cs="Times New Roman"/>
          <w:sz w:val="24"/>
          <w:szCs w:val="24"/>
        </w:rPr>
        <w:t>ing</w:t>
      </w:r>
      <w:r w:rsidRPr="002F53F4">
        <w:rPr>
          <w:rFonts w:ascii="Times New Roman" w:hAnsi="Times New Roman" w:cs="Times New Roman"/>
          <w:sz w:val="24"/>
          <w:szCs w:val="24"/>
        </w:rPr>
        <w:t xml:space="preserve"> clinical applications in which a human embryo </w:t>
      </w:r>
      <w:r>
        <w:rPr>
          <w:rFonts w:ascii="Times New Roman" w:hAnsi="Times New Roman" w:cs="Times New Roman"/>
          <w:sz w:val="24"/>
          <w:szCs w:val="24"/>
        </w:rPr>
        <w:t>would be</w:t>
      </w:r>
      <w:r w:rsidRPr="002F53F4">
        <w:rPr>
          <w:rFonts w:ascii="Times New Roman" w:hAnsi="Times New Roman" w:cs="Times New Roman"/>
          <w:sz w:val="24"/>
          <w:szCs w:val="24"/>
        </w:rPr>
        <w:t xml:space="preserve"> intentionally created or modified to include a heritable genetic modification</w:t>
      </w:r>
      <w:r>
        <w:rPr>
          <w:rFonts w:ascii="Times New Roman" w:hAnsi="Times New Roman" w:cs="Times New Roman"/>
          <w:sz w:val="24"/>
          <w:szCs w:val="24"/>
        </w:rPr>
        <w:t>.  Prior to this vote, there was debate about whether to remove this provision to permit clinical trials to move forward for embryos that have germline modification in the form of Mitochondrial Replacement Therapy (MRT).  There have been calls by scientists and policymakers to provide an exception to permit MRT and potentially permit other forms of “therapeutic” genome editing for human embryos.</w:t>
      </w:r>
    </w:p>
    <w:bookmarkEnd w:id="0"/>
    <w:p w14:paraId="7D22B7F5" w14:textId="77777777" w:rsidR="005A7E57" w:rsidRPr="005A7E57" w:rsidRDefault="005A7E57" w:rsidP="009A6858">
      <w:pPr>
        <w:pStyle w:val="NoSpacing"/>
        <w:rPr>
          <w:rFonts w:ascii="Times New Roman" w:hAnsi="Times New Roman" w:cs="Times New Roman"/>
          <w:sz w:val="24"/>
          <w:szCs w:val="24"/>
        </w:rPr>
      </w:pPr>
    </w:p>
    <w:p w14:paraId="6AD52153" w14:textId="19A72689" w:rsidR="009A6858" w:rsidRPr="00EA0555" w:rsidRDefault="009A6858" w:rsidP="009A6858">
      <w:pPr>
        <w:pStyle w:val="NoSpacing"/>
        <w:rPr>
          <w:rFonts w:ascii="Times New Roman" w:hAnsi="Times New Roman" w:cs="Times New Roman"/>
          <w:b/>
          <w:i/>
          <w:sz w:val="24"/>
          <w:szCs w:val="24"/>
          <w:shd w:val="clear" w:color="auto" w:fill="FFFFFF"/>
        </w:rPr>
      </w:pPr>
      <w:r w:rsidRPr="00EA0555">
        <w:rPr>
          <w:rFonts w:ascii="Times New Roman" w:hAnsi="Times New Roman" w:cs="Times New Roman"/>
          <w:b/>
          <w:i/>
          <w:sz w:val="24"/>
          <w:szCs w:val="24"/>
          <w:shd w:val="clear" w:color="auto" w:fill="FFFFFF"/>
        </w:rPr>
        <w:t>ACTION REQUESTED</w:t>
      </w:r>
      <w:r w:rsidR="00EA0555">
        <w:rPr>
          <w:rFonts w:ascii="Times New Roman" w:hAnsi="Times New Roman" w:cs="Times New Roman"/>
          <w:b/>
          <w:i/>
          <w:sz w:val="24"/>
          <w:szCs w:val="24"/>
          <w:shd w:val="clear" w:color="auto" w:fill="FFFFFF"/>
        </w:rPr>
        <w:t>:</w:t>
      </w:r>
    </w:p>
    <w:p w14:paraId="0D6C4C64" w14:textId="77777777" w:rsidR="009A6858" w:rsidRDefault="009A6858" w:rsidP="009A6858">
      <w:pPr>
        <w:pStyle w:val="NoSpacing"/>
        <w:ind w:left="360"/>
        <w:rPr>
          <w:rFonts w:ascii="Times New Roman" w:hAnsi="Times New Roman" w:cs="Times New Roman"/>
          <w:b/>
          <w:sz w:val="24"/>
          <w:szCs w:val="24"/>
          <w:shd w:val="clear" w:color="auto" w:fill="FFFFFF"/>
        </w:rPr>
      </w:pPr>
    </w:p>
    <w:p w14:paraId="79E03145" w14:textId="60C8D745" w:rsidR="009A6858" w:rsidRPr="005A7E57" w:rsidRDefault="009A6858" w:rsidP="005A7E57">
      <w:pPr>
        <w:pStyle w:val="NoSpacing"/>
        <w:rPr>
          <w:rFonts w:ascii="Times New Roman" w:hAnsi="Times New Roman" w:cs="Times New Roman"/>
          <w:b/>
          <w:sz w:val="24"/>
          <w:szCs w:val="24"/>
          <w:shd w:val="clear" w:color="auto" w:fill="FFFFFF"/>
        </w:rPr>
      </w:pPr>
      <w:r w:rsidRPr="005A7E57">
        <w:rPr>
          <w:rFonts w:ascii="Times New Roman" w:hAnsi="Times New Roman" w:cs="Times New Roman"/>
          <w:b/>
          <w:sz w:val="24"/>
          <w:szCs w:val="24"/>
          <w:shd w:val="clear" w:color="auto" w:fill="FFFFFF"/>
        </w:rPr>
        <w:t xml:space="preserve">The Congressional Appropriations Committee should </w:t>
      </w:r>
      <w:r w:rsidR="005409A2" w:rsidRPr="005A7E57">
        <w:rPr>
          <w:rFonts w:ascii="Times New Roman" w:hAnsi="Times New Roman" w:cs="Times New Roman"/>
          <w:b/>
          <w:sz w:val="24"/>
          <w:szCs w:val="24"/>
          <w:shd w:val="clear" w:color="auto" w:fill="FFFFFF"/>
        </w:rPr>
        <w:t>retain</w:t>
      </w:r>
      <w:r w:rsidR="008B6113" w:rsidRPr="005A7E57">
        <w:rPr>
          <w:rFonts w:ascii="Times New Roman" w:hAnsi="Times New Roman" w:cs="Times New Roman"/>
          <w:b/>
          <w:sz w:val="24"/>
          <w:szCs w:val="24"/>
          <w:shd w:val="clear" w:color="auto" w:fill="FFFFFF"/>
        </w:rPr>
        <w:t xml:space="preserve"> the </w:t>
      </w:r>
      <w:r w:rsidR="005A7E57" w:rsidRPr="005A7E57">
        <w:rPr>
          <w:rFonts w:ascii="Times New Roman" w:hAnsi="Times New Roman" w:cs="Times New Roman"/>
          <w:b/>
          <w:sz w:val="24"/>
          <w:szCs w:val="24"/>
          <w:shd w:val="clear" w:color="auto" w:fill="FFFFFF"/>
        </w:rPr>
        <w:t>rider that prohibits FDA from reviewing clinical applications for “</w:t>
      </w:r>
      <w:r w:rsidR="005A7E57" w:rsidRPr="005A7E57">
        <w:rPr>
          <w:rFonts w:ascii="Times New Roman" w:hAnsi="Times New Roman" w:cs="Times New Roman"/>
          <w:b/>
          <w:sz w:val="24"/>
          <w:szCs w:val="24"/>
          <w:shd w:val="clear" w:color="auto" w:fill="FFFFFF"/>
        </w:rPr>
        <w:t>research in which a human embryo is intentionally created or modified to include a heritable genetic modification</w:t>
      </w:r>
      <w:r w:rsidR="005A7E57" w:rsidRPr="005A7E57">
        <w:rPr>
          <w:rFonts w:ascii="Times New Roman" w:hAnsi="Times New Roman" w:cs="Times New Roman"/>
          <w:b/>
          <w:sz w:val="24"/>
          <w:szCs w:val="24"/>
          <w:shd w:val="clear" w:color="auto" w:fill="FFFFFF"/>
        </w:rPr>
        <w:t>.”  Congress should not permit any exceptions for MRT or “therapeutic” applications of genome editing on human embryos.</w:t>
      </w:r>
    </w:p>
    <w:p w14:paraId="5AFE4535" w14:textId="77777777" w:rsidR="009A6858" w:rsidRDefault="009A6858" w:rsidP="009A6858">
      <w:pPr>
        <w:pStyle w:val="NoSpacing"/>
        <w:ind w:left="360"/>
        <w:rPr>
          <w:rFonts w:ascii="Arial" w:hAnsi="Arial" w:cs="Arial"/>
          <w:color w:val="202A43"/>
          <w:sz w:val="24"/>
          <w:szCs w:val="24"/>
        </w:rPr>
      </w:pPr>
    </w:p>
    <w:p w14:paraId="1524AAF5" w14:textId="281CD900" w:rsidR="002F7FD3" w:rsidRPr="001F7D16" w:rsidRDefault="002F7FD3" w:rsidP="009A6858">
      <w:pPr>
        <w:pStyle w:val="ListParagraph"/>
        <w:numPr>
          <w:ilvl w:val="0"/>
          <w:numId w:val="31"/>
        </w:numPr>
        <w:rPr>
          <w:rFonts w:ascii="Arial" w:hAnsi="Arial" w:cs="Arial"/>
          <w:bCs/>
          <w:color w:val="202A43"/>
        </w:rPr>
      </w:pPr>
      <w:r w:rsidRPr="001F7D16">
        <w:rPr>
          <w:bCs/>
        </w:rPr>
        <w:t xml:space="preserve">Removing </w:t>
      </w:r>
      <w:r w:rsidR="005409A2" w:rsidRPr="001F7D16">
        <w:rPr>
          <w:bCs/>
        </w:rPr>
        <w:t xml:space="preserve">or altering </w:t>
      </w:r>
      <w:r w:rsidRPr="001F7D16">
        <w:rPr>
          <w:bCs/>
        </w:rPr>
        <w:t>Sec. 733</w:t>
      </w:r>
      <w:r w:rsidR="005409A2" w:rsidRPr="001F7D16">
        <w:rPr>
          <w:bCs/>
        </w:rPr>
        <w:t xml:space="preserve"> to exempt Mitochondrial Replacement Therapy</w:t>
      </w:r>
      <w:r w:rsidRPr="001F7D16">
        <w:rPr>
          <w:bCs/>
        </w:rPr>
        <w:t xml:space="preserve"> would in effect permit human genome modification technologies to move forward into clinical application.  This constitutes a substantial policy modification that should not be undertaken without full and transparent public debate before U.S. Congress.</w:t>
      </w:r>
    </w:p>
    <w:p w14:paraId="3ABF28A9" w14:textId="77777777" w:rsidR="002F7FD3" w:rsidRPr="001F7D16" w:rsidRDefault="002F7FD3" w:rsidP="002F7FD3">
      <w:pPr>
        <w:pStyle w:val="NoSpacing"/>
        <w:ind w:left="360"/>
        <w:rPr>
          <w:rFonts w:ascii="Times New Roman" w:hAnsi="Times New Roman" w:cs="Times New Roman"/>
          <w:bCs/>
          <w:sz w:val="24"/>
          <w:szCs w:val="24"/>
        </w:rPr>
      </w:pPr>
    </w:p>
    <w:p w14:paraId="5287A2F3" w14:textId="77777777" w:rsidR="002F7FD3" w:rsidRPr="001F7D16" w:rsidRDefault="002F7FD3" w:rsidP="009A6858">
      <w:pPr>
        <w:pStyle w:val="NoSpacing"/>
        <w:numPr>
          <w:ilvl w:val="0"/>
          <w:numId w:val="31"/>
        </w:numPr>
        <w:rPr>
          <w:rFonts w:ascii="Times New Roman" w:hAnsi="Times New Roman" w:cs="Times New Roman"/>
          <w:bCs/>
          <w:sz w:val="24"/>
          <w:szCs w:val="24"/>
        </w:rPr>
      </w:pPr>
      <w:r w:rsidRPr="001F7D16">
        <w:rPr>
          <w:rFonts w:ascii="Times New Roman" w:hAnsi="Times New Roman" w:cs="Times New Roman"/>
          <w:bCs/>
          <w:sz w:val="24"/>
          <w:szCs w:val="24"/>
        </w:rPr>
        <w:t>Strong policymaking requires accuracy, transparency, and honest deliberation of available evidence.  Public discussions should include the limitations of experimental technology, alternatives, and risks.</w:t>
      </w:r>
    </w:p>
    <w:p w14:paraId="1BD637AA" w14:textId="77777777" w:rsidR="002F7FD3" w:rsidRPr="001F7D16" w:rsidRDefault="002F7FD3" w:rsidP="002F7FD3">
      <w:pPr>
        <w:pStyle w:val="NoSpacing"/>
        <w:rPr>
          <w:rFonts w:ascii="Times New Roman" w:hAnsi="Times New Roman" w:cs="Times New Roman"/>
          <w:bCs/>
          <w:sz w:val="24"/>
          <w:szCs w:val="24"/>
        </w:rPr>
      </w:pPr>
    </w:p>
    <w:p w14:paraId="0422344D" w14:textId="77777777" w:rsidR="002F7FD3" w:rsidRPr="001F7D16" w:rsidRDefault="002F7FD3" w:rsidP="009A6858">
      <w:pPr>
        <w:pStyle w:val="NoSpacing"/>
        <w:numPr>
          <w:ilvl w:val="0"/>
          <w:numId w:val="31"/>
        </w:numPr>
        <w:rPr>
          <w:rFonts w:ascii="Times New Roman" w:hAnsi="Times New Roman" w:cs="Times New Roman"/>
          <w:bCs/>
          <w:sz w:val="24"/>
          <w:szCs w:val="24"/>
        </w:rPr>
      </w:pPr>
      <w:r w:rsidRPr="001F7D16">
        <w:rPr>
          <w:rFonts w:ascii="Times New Roman" w:hAnsi="Times New Roman" w:cs="Times New Roman"/>
          <w:bCs/>
          <w:sz w:val="24"/>
          <w:szCs w:val="24"/>
        </w:rPr>
        <w:t xml:space="preserve">Scientists have already conducted experiments to create infants through Mitochondrial Replacement Therapy and Human Genome Editing.  There is no independent evidence showing these infants are healthy; and evidence in fact demonstrates the procedure of genome editing embryos to create infants in China did not work as intended. </w:t>
      </w:r>
    </w:p>
    <w:p w14:paraId="639F587D" w14:textId="43126A08" w:rsidR="002F7FD3" w:rsidRPr="001F7D16" w:rsidRDefault="002F7FD3" w:rsidP="002F7FD3">
      <w:pPr>
        <w:pStyle w:val="NoSpacing"/>
        <w:ind w:left="360"/>
        <w:rPr>
          <w:rFonts w:ascii="Times New Roman" w:hAnsi="Times New Roman" w:cs="Times New Roman"/>
          <w:bCs/>
          <w:sz w:val="24"/>
          <w:szCs w:val="24"/>
        </w:rPr>
      </w:pPr>
      <w:r w:rsidRPr="001F7D16">
        <w:rPr>
          <w:rFonts w:ascii="Times New Roman" w:hAnsi="Times New Roman" w:cs="Times New Roman"/>
          <w:bCs/>
          <w:sz w:val="24"/>
          <w:szCs w:val="24"/>
        </w:rPr>
        <w:t xml:space="preserve"> </w:t>
      </w:r>
    </w:p>
    <w:p w14:paraId="73128EF8" w14:textId="77777777" w:rsidR="002F7FD3" w:rsidRPr="001F7D16" w:rsidRDefault="002F7FD3" w:rsidP="009A6858">
      <w:pPr>
        <w:pStyle w:val="NoSpacing"/>
        <w:numPr>
          <w:ilvl w:val="0"/>
          <w:numId w:val="31"/>
        </w:numPr>
        <w:rPr>
          <w:rFonts w:ascii="Times New Roman" w:hAnsi="Times New Roman" w:cs="Times New Roman"/>
          <w:bCs/>
          <w:sz w:val="24"/>
          <w:szCs w:val="24"/>
        </w:rPr>
      </w:pPr>
      <w:r w:rsidRPr="001F7D16">
        <w:rPr>
          <w:rFonts w:ascii="Times New Roman" w:hAnsi="Times New Roman" w:cs="Times New Roman"/>
          <w:bCs/>
          <w:sz w:val="24"/>
          <w:szCs w:val="24"/>
        </w:rPr>
        <w:t xml:space="preserve">Unlike other potential clinical trials where the FDA determines calculations of safety and efficacy for the intended patient, the research subject – a future child </w:t>
      </w:r>
      <w:proofErr w:type="gramStart"/>
      <w:r w:rsidRPr="001F7D16">
        <w:rPr>
          <w:rFonts w:ascii="Times New Roman" w:hAnsi="Times New Roman" w:cs="Times New Roman"/>
          <w:bCs/>
          <w:sz w:val="24"/>
          <w:szCs w:val="24"/>
        </w:rPr>
        <w:t>–  would</w:t>
      </w:r>
      <w:proofErr w:type="gramEnd"/>
      <w:r w:rsidRPr="001F7D16">
        <w:rPr>
          <w:rFonts w:ascii="Times New Roman" w:hAnsi="Times New Roman" w:cs="Times New Roman"/>
          <w:bCs/>
          <w:sz w:val="24"/>
          <w:szCs w:val="24"/>
        </w:rPr>
        <w:t xml:space="preserve"> be </w:t>
      </w:r>
      <w:r w:rsidRPr="001F7D16">
        <w:rPr>
          <w:rFonts w:ascii="Times New Roman" w:hAnsi="Times New Roman" w:cs="Times New Roman"/>
          <w:bCs/>
          <w:i/>
          <w:sz w:val="24"/>
          <w:szCs w:val="24"/>
        </w:rPr>
        <w:t>created</w:t>
      </w:r>
      <w:r w:rsidRPr="001F7D16">
        <w:rPr>
          <w:rFonts w:ascii="Times New Roman" w:hAnsi="Times New Roman" w:cs="Times New Roman"/>
          <w:bCs/>
          <w:sz w:val="24"/>
          <w:szCs w:val="24"/>
        </w:rPr>
        <w:t xml:space="preserve"> using the proposed methodology.    </w:t>
      </w:r>
    </w:p>
    <w:p w14:paraId="2A03BEF3" w14:textId="77777777" w:rsidR="002F7FD3" w:rsidRPr="001F7D16" w:rsidRDefault="002F7FD3" w:rsidP="002F7FD3">
      <w:pPr>
        <w:pStyle w:val="NoSpacing"/>
        <w:ind w:left="360"/>
        <w:rPr>
          <w:rFonts w:ascii="Times New Roman" w:hAnsi="Times New Roman" w:cs="Times New Roman"/>
          <w:bCs/>
          <w:sz w:val="24"/>
          <w:szCs w:val="24"/>
        </w:rPr>
      </w:pPr>
    </w:p>
    <w:p w14:paraId="7324EE6A" w14:textId="77777777" w:rsidR="002F7FD3" w:rsidRPr="001F7D16" w:rsidRDefault="002F7FD3" w:rsidP="009A6858">
      <w:pPr>
        <w:pStyle w:val="NoSpacing"/>
        <w:numPr>
          <w:ilvl w:val="0"/>
          <w:numId w:val="31"/>
        </w:numPr>
        <w:rPr>
          <w:rFonts w:ascii="Times New Roman" w:hAnsi="Times New Roman" w:cs="Times New Roman"/>
          <w:bCs/>
          <w:sz w:val="24"/>
          <w:szCs w:val="24"/>
        </w:rPr>
      </w:pPr>
      <w:r w:rsidRPr="001F7D16">
        <w:rPr>
          <w:rFonts w:ascii="Times New Roman" w:hAnsi="Times New Roman" w:cs="Times New Roman"/>
          <w:bCs/>
          <w:sz w:val="24"/>
          <w:szCs w:val="24"/>
        </w:rPr>
        <w:t>In recognition of risks, ethical concerns, and principled objections, modification of the human germline (whether by Mitochondrial Replacement Therapy or Human Genome Editing) has prohibited by International Bioethics Committee of the United Nations, The Council of Europe’s Convention on Human Rights and Biomedicine, and the European Union’s 2001 directive on clinical trials.</w:t>
      </w:r>
      <w:r w:rsidRPr="001F7D16">
        <w:rPr>
          <w:rStyle w:val="EndnoteReference"/>
          <w:rFonts w:ascii="Times New Roman" w:hAnsi="Times New Roman" w:cs="Times New Roman"/>
          <w:bCs/>
          <w:sz w:val="24"/>
          <w:szCs w:val="24"/>
        </w:rPr>
        <w:t xml:space="preserve"> </w:t>
      </w:r>
      <w:r w:rsidRPr="001F7D16">
        <w:rPr>
          <w:rStyle w:val="EndnoteReference"/>
          <w:rFonts w:ascii="Times New Roman" w:hAnsi="Times New Roman" w:cs="Times New Roman"/>
          <w:bCs/>
          <w:sz w:val="24"/>
          <w:szCs w:val="24"/>
        </w:rPr>
        <w:endnoteReference w:id="4"/>
      </w:r>
    </w:p>
    <w:p w14:paraId="7A90FF2D" w14:textId="2382AE87" w:rsidR="002F7FD3" w:rsidRPr="001F7D16" w:rsidRDefault="002F7FD3" w:rsidP="002F7FD3">
      <w:pPr>
        <w:pStyle w:val="NoSpacing"/>
        <w:rPr>
          <w:rFonts w:ascii="Times New Roman" w:hAnsi="Times New Roman" w:cs="Times New Roman"/>
          <w:bCs/>
          <w:sz w:val="24"/>
          <w:szCs w:val="24"/>
        </w:rPr>
      </w:pPr>
    </w:p>
    <w:p w14:paraId="279A58DC" w14:textId="77777777" w:rsidR="002F7FD3" w:rsidRPr="001F7D16" w:rsidRDefault="002F7FD3" w:rsidP="009A6858">
      <w:pPr>
        <w:pStyle w:val="NoSpacing"/>
        <w:numPr>
          <w:ilvl w:val="0"/>
          <w:numId w:val="31"/>
        </w:numPr>
        <w:rPr>
          <w:rFonts w:ascii="Times New Roman" w:hAnsi="Times New Roman" w:cs="Times New Roman"/>
          <w:bCs/>
          <w:sz w:val="24"/>
          <w:szCs w:val="24"/>
        </w:rPr>
      </w:pPr>
      <w:r w:rsidRPr="001F7D16">
        <w:rPr>
          <w:rFonts w:ascii="Times New Roman" w:hAnsi="Times New Roman" w:cs="Times New Roman"/>
          <w:bCs/>
          <w:sz w:val="24"/>
          <w:szCs w:val="24"/>
        </w:rPr>
        <w:t>Public framing of human germline modification technologies (Mitochondrial Replacement Genome Therapy and Genome Editing) contains misleading rhetoric designed to engineer acceptance.  These procedures are not curative, but rather highly experimental with significant risks.  Using misleading descriptions undermines the authenticity and integrity of the policymaking process.</w:t>
      </w:r>
    </w:p>
    <w:p w14:paraId="41F31C62" w14:textId="77777777" w:rsidR="002F7FD3" w:rsidRPr="001F7D16" w:rsidRDefault="002F7FD3" w:rsidP="002F7FD3">
      <w:pPr>
        <w:pStyle w:val="NoSpacing"/>
        <w:ind w:left="1800"/>
        <w:rPr>
          <w:rFonts w:ascii="Times New Roman" w:hAnsi="Times New Roman" w:cs="Times New Roman"/>
          <w:bCs/>
          <w:sz w:val="24"/>
          <w:szCs w:val="24"/>
        </w:rPr>
      </w:pPr>
    </w:p>
    <w:p w14:paraId="2694BBBD" w14:textId="77777777" w:rsidR="002F7FD3" w:rsidRPr="001F7D16" w:rsidRDefault="002F7FD3" w:rsidP="009A6858">
      <w:pPr>
        <w:pStyle w:val="NoSpacing"/>
        <w:numPr>
          <w:ilvl w:val="0"/>
          <w:numId w:val="31"/>
        </w:numPr>
        <w:rPr>
          <w:rFonts w:ascii="Times New Roman" w:hAnsi="Times New Roman" w:cs="Times New Roman"/>
          <w:bCs/>
          <w:sz w:val="24"/>
          <w:szCs w:val="24"/>
        </w:rPr>
      </w:pPr>
      <w:r w:rsidRPr="001F7D16">
        <w:rPr>
          <w:rFonts w:ascii="Times New Roman" w:hAnsi="Times New Roman" w:cs="Times New Roman"/>
          <w:bCs/>
          <w:sz w:val="24"/>
          <w:szCs w:val="24"/>
        </w:rPr>
        <w:t>The U.S. will not “fall behind” in science and technology.  Dozens of other nations and international agreements unequivocally prohibit human germline modifications as a bright line that should not be crossed.</w:t>
      </w:r>
    </w:p>
    <w:p w14:paraId="32025FD7" w14:textId="77777777" w:rsidR="002F7FD3" w:rsidRPr="001F7D16" w:rsidRDefault="002F7FD3" w:rsidP="002F7FD3">
      <w:pPr>
        <w:pStyle w:val="NoSpacing"/>
        <w:ind w:left="360"/>
        <w:rPr>
          <w:rFonts w:ascii="Times New Roman" w:hAnsi="Times New Roman" w:cs="Times New Roman"/>
          <w:bCs/>
          <w:sz w:val="24"/>
          <w:szCs w:val="24"/>
        </w:rPr>
      </w:pPr>
    </w:p>
    <w:p w14:paraId="202391F3" w14:textId="77777777" w:rsidR="002F7FD3" w:rsidRPr="001F7D16" w:rsidRDefault="002F7FD3" w:rsidP="009A6858">
      <w:pPr>
        <w:pStyle w:val="NoSpacing"/>
        <w:numPr>
          <w:ilvl w:val="1"/>
          <w:numId w:val="31"/>
        </w:numPr>
        <w:rPr>
          <w:rFonts w:ascii="Times New Roman" w:hAnsi="Times New Roman" w:cs="Times New Roman"/>
          <w:bCs/>
          <w:sz w:val="24"/>
          <w:szCs w:val="24"/>
        </w:rPr>
      </w:pPr>
      <w:r w:rsidRPr="001F7D16">
        <w:rPr>
          <w:rFonts w:ascii="Times New Roman" w:hAnsi="Times New Roman" w:cs="Times New Roman"/>
          <w:bCs/>
          <w:sz w:val="24"/>
          <w:szCs w:val="24"/>
        </w:rPr>
        <w:t>Globally, approximately forty countries</w:t>
      </w:r>
      <w:r w:rsidRPr="001F7D16">
        <w:rPr>
          <w:rStyle w:val="EndnoteReference"/>
          <w:rFonts w:ascii="Times New Roman" w:hAnsi="Times New Roman" w:cs="Times New Roman"/>
          <w:bCs/>
          <w:sz w:val="24"/>
          <w:szCs w:val="24"/>
        </w:rPr>
        <w:endnoteReference w:id="5"/>
      </w:r>
      <w:r w:rsidRPr="001F7D16">
        <w:rPr>
          <w:rFonts w:ascii="Times New Roman" w:hAnsi="Times New Roman" w:cs="Times New Roman"/>
          <w:bCs/>
          <w:sz w:val="24"/>
          <w:szCs w:val="24"/>
        </w:rPr>
        <w:t xml:space="preserve"> including Canada,</w:t>
      </w:r>
      <w:r w:rsidRPr="001F7D16">
        <w:rPr>
          <w:rStyle w:val="EndnoteReference"/>
          <w:rFonts w:ascii="Times New Roman" w:hAnsi="Times New Roman" w:cs="Times New Roman"/>
          <w:bCs/>
          <w:sz w:val="24"/>
          <w:szCs w:val="24"/>
        </w:rPr>
        <w:endnoteReference w:id="6"/>
      </w:r>
      <w:r w:rsidRPr="001F7D16">
        <w:rPr>
          <w:rFonts w:ascii="Times New Roman" w:hAnsi="Times New Roman" w:cs="Times New Roman"/>
          <w:bCs/>
          <w:sz w:val="24"/>
          <w:szCs w:val="24"/>
        </w:rPr>
        <w:t xml:space="preserve"> Germany,</w:t>
      </w:r>
      <w:r w:rsidRPr="001F7D16">
        <w:rPr>
          <w:rStyle w:val="EndnoteReference"/>
          <w:rFonts w:ascii="Times New Roman" w:hAnsi="Times New Roman" w:cs="Times New Roman"/>
          <w:bCs/>
          <w:sz w:val="24"/>
          <w:szCs w:val="24"/>
        </w:rPr>
        <w:endnoteReference w:id="7"/>
      </w:r>
      <w:r w:rsidRPr="001F7D16">
        <w:rPr>
          <w:rFonts w:ascii="Times New Roman" w:hAnsi="Times New Roman" w:cs="Times New Roman"/>
          <w:bCs/>
          <w:sz w:val="24"/>
          <w:szCs w:val="24"/>
        </w:rPr>
        <w:t xml:space="preserve"> France,</w:t>
      </w:r>
      <w:r w:rsidRPr="001F7D16">
        <w:rPr>
          <w:rStyle w:val="EndnoteReference"/>
          <w:rFonts w:ascii="Times New Roman" w:hAnsi="Times New Roman" w:cs="Times New Roman"/>
          <w:bCs/>
          <w:sz w:val="24"/>
          <w:szCs w:val="24"/>
        </w:rPr>
        <w:endnoteReference w:id="8"/>
      </w:r>
      <w:r w:rsidRPr="001F7D16">
        <w:rPr>
          <w:rFonts w:ascii="Times New Roman" w:hAnsi="Times New Roman" w:cs="Times New Roman"/>
          <w:bCs/>
          <w:sz w:val="24"/>
          <w:szCs w:val="24"/>
        </w:rPr>
        <w:t xml:space="preserve"> Switzerland,</w:t>
      </w:r>
      <w:r w:rsidRPr="001F7D16">
        <w:rPr>
          <w:rStyle w:val="EndnoteReference"/>
          <w:rFonts w:ascii="Times New Roman" w:hAnsi="Times New Roman" w:cs="Times New Roman"/>
          <w:bCs/>
          <w:sz w:val="24"/>
          <w:szCs w:val="24"/>
        </w:rPr>
        <w:endnoteReference w:id="9"/>
      </w:r>
      <w:r w:rsidRPr="001F7D16">
        <w:rPr>
          <w:rFonts w:ascii="Times New Roman" w:hAnsi="Times New Roman" w:cs="Times New Roman"/>
          <w:bCs/>
          <w:sz w:val="24"/>
          <w:szCs w:val="24"/>
        </w:rPr>
        <w:t xml:space="preserve">  Sweden,</w:t>
      </w:r>
      <w:r w:rsidRPr="001F7D16">
        <w:rPr>
          <w:rStyle w:val="EndnoteReference"/>
          <w:rFonts w:ascii="Times New Roman" w:hAnsi="Times New Roman" w:cs="Times New Roman"/>
          <w:bCs/>
          <w:sz w:val="24"/>
          <w:szCs w:val="24"/>
        </w:rPr>
        <w:endnoteReference w:id="10"/>
      </w:r>
      <w:r w:rsidRPr="001F7D16">
        <w:rPr>
          <w:rFonts w:ascii="Times New Roman" w:hAnsi="Times New Roman" w:cs="Times New Roman"/>
          <w:bCs/>
          <w:sz w:val="24"/>
          <w:szCs w:val="24"/>
        </w:rPr>
        <w:t xml:space="preserve"> and Italy</w:t>
      </w:r>
      <w:r w:rsidRPr="001F7D16">
        <w:rPr>
          <w:rStyle w:val="EndnoteReference"/>
          <w:rFonts w:ascii="Times New Roman" w:hAnsi="Times New Roman" w:cs="Times New Roman"/>
          <w:bCs/>
          <w:sz w:val="24"/>
          <w:szCs w:val="24"/>
        </w:rPr>
        <w:endnoteReference w:id="11"/>
      </w:r>
      <w:r w:rsidRPr="001F7D16">
        <w:rPr>
          <w:rFonts w:ascii="Times New Roman" w:hAnsi="Times New Roman" w:cs="Times New Roman"/>
          <w:bCs/>
          <w:sz w:val="24"/>
          <w:szCs w:val="24"/>
        </w:rPr>
        <w:t xml:space="preserve"> have adopted legislation prohibiting germline intervention on embryos for implantation.</w:t>
      </w:r>
      <w:r w:rsidRPr="001F7D16">
        <w:rPr>
          <w:rStyle w:val="EndnoteReference"/>
          <w:rFonts w:ascii="Times New Roman" w:hAnsi="Times New Roman" w:cs="Times New Roman"/>
          <w:bCs/>
          <w:sz w:val="24"/>
          <w:szCs w:val="24"/>
        </w:rPr>
        <w:endnoteReference w:id="12"/>
      </w:r>
      <w:r w:rsidRPr="001F7D16">
        <w:rPr>
          <w:rFonts w:ascii="Times New Roman" w:hAnsi="Times New Roman" w:cs="Times New Roman"/>
          <w:bCs/>
          <w:sz w:val="24"/>
          <w:szCs w:val="24"/>
        </w:rPr>
        <w:t xml:space="preserve">  </w:t>
      </w:r>
    </w:p>
    <w:p w14:paraId="1E301CCA" w14:textId="77777777" w:rsidR="002F7FD3" w:rsidRPr="001F7D16" w:rsidRDefault="002F7FD3" w:rsidP="002F7FD3">
      <w:pPr>
        <w:pStyle w:val="NoSpacing"/>
        <w:ind w:left="1080"/>
        <w:rPr>
          <w:rFonts w:ascii="Times New Roman" w:hAnsi="Times New Roman" w:cs="Times New Roman"/>
          <w:bCs/>
          <w:sz w:val="24"/>
          <w:szCs w:val="24"/>
        </w:rPr>
      </w:pPr>
    </w:p>
    <w:p w14:paraId="36CD2DDA" w14:textId="77777777" w:rsidR="002F7FD3" w:rsidRPr="001F7D16" w:rsidRDefault="002F7FD3" w:rsidP="009A6858">
      <w:pPr>
        <w:pStyle w:val="NoSpacing"/>
        <w:numPr>
          <w:ilvl w:val="0"/>
          <w:numId w:val="31"/>
        </w:numPr>
        <w:rPr>
          <w:rFonts w:ascii="Times New Roman" w:hAnsi="Times New Roman" w:cs="Times New Roman"/>
          <w:bCs/>
          <w:sz w:val="24"/>
          <w:szCs w:val="24"/>
        </w:rPr>
      </w:pPr>
      <w:r w:rsidRPr="001F7D16">
        <w:rPr>
          <w:rFonts w:ascii="Times New Roman" w:hAnsi="Times New Roman" w:cs="Times New Roman"/>
          <w:bCs/>
          <w:sz w:val="24"/>
          <w:szCs w:val="24"/>
        </w:rPr>
        <w:t xml:space="preserve">The U.S. should not permit any exception for MRT.  Appropriate policymaking looks not only at the conclusion or recommendations of expert reports, but at whether the evidence supports such conclusion. </w:t>
      </w:r>
    </w:p>
    <w:p w14:paraId="2C8BBE75" w14:textId="7A7C892A" w:rsidR="002F7FD3" w:rsidRPr="001F7D16" w:rsidRDefault="002F7FD3" w:rsidP="002F7FD3">
      <w:pPr>
        <w:pStyle w:val="NoSpacing"/>
        <w:rPr>
          <w:rFonts w:ascii="Times New Roman" w:hAnsi="Times New Roman" w:cs="Times New Roman"/>
          <w:bCs/>
          <w:sz w:val="24"/>
          <w:szCs w:val="24"/>
        </w:rPr>
      </w:pPr>
    </w:p>
    <w:p w14:paraId="08166B58" w14:textId="77777777" w:rsidR="002F7FD3" w:rsidRPr="001F7D16" w:rsidRDefault="002F7FD3" w:rsidP="009A6858">
      <w:pPr>
        <w:pStyle w:val="NoSpacing"/>
        <w:numPr>
          <w:ilvl w:val="0"/>
          <w:numId w:val="31"/>
        </w:numPr>
        <w:rPr>
          <w:rFonts w:ascii="Times New Roman" w:hAnsi="Times New Roman" w:cs="Times New Roman"/>
          <w:bCs/>
          <w:sz w:val="24"/>
          <w:szCs w:val="24"/>
        </w:rPr>
      </w:pPr>
      <w:r w:rsidRPr="001F7D16">
        <w:rPr>
          <w:rFonts w:ascii="Times New Roman" w:hAnsi="Times New Roman" w:cs="Times New Roman"/>
          <w:bCs/>
          <w:sz w:val="24"/>
          <w:szCs w:val="24"/>
        </w:rPr>
        <w:t>The U.K.’s policy stance permitting MRT should not serve as model to the U.S. because it lacked public consensus and summarily dismissed substantial concerns with safety and efficacy.</w:t>
      </w:r>
    </w:p>
    <w:p w14:paraId="3BC0BF05" w14:textId="77777777" w:rsidR="002F7FD3" w:rsidRPr="001F7D16" w:rsidRDefault="002F7FD3" w:rsidP="002F7FD3">
      <w:pPr>
        <w:pStyle w:val="NoSpacing"/>
        <w:ind w:left="1620"/>
        <w:rPr>
          <w:rFonts w:ascii="Times New Roman" w:hAnsi="Times New Roman" w:cs="Times New Roman"/>
          <w:bCs/>
          <w:sz w:val="24"/>
          <w:szCs w:val="24"/>
        </w:rPr>
      </w:pPr>
    </w:p>
    <w:p w14:paraId="6C6CE98C" w14:textId="2D4ED632" w:rsidR="002F7FD3" w:rsidRPr="001F7D16" w:rsidRDefault="002F7FD3" w:rsidP="009A6858">
      <w:pPr>
        <w:pStyle w:val="NoSpacing"/>
        <w:numPr>
          <w:ilvl w:val="0"/>
          <w:numId w:val="31"/>
        </w:numPr>
        <w:rPr>
          <w:rFonts w:ascii="Times New Roman" w:hAnsi="Times New Roman" w:cs="Times New Roman"/>
          <w:bCs/>
          <w:sz w:val="24"/>
          <w:szCs w:val="24"/>
        </w:rPr>
      </w:pPr>
      <w:r w:rsidRPr="001F7D16">
        <w:rPr>
          <w:rFonts w:ascii="Times New Roman" w:hAnsi="Times New Roman" w:cs="Times New Roman"/>
          <w:bCs/>
          <w:sz w:val="24"/>
          <w:szCs w:val="24"/>
        </w:rPr>
        <w:t xml:space="preserve">There are </w:t>
      </w:r>
      <w:r w:rsidR="00F253C7" w:rsidRPr="001F7D16">
        <w:rPr>
          <w:rFonts w:ascii="Times New Roman" w:hAnsi="Times New Roman" w:cs="Times New Roman"/>
          <w:bCs/>
          <w:sz w:val="24"/>
          <w:szCs w:val="24"/>
        </w:rPr>
        <w:t>serious</w:t>
      </w:r>
      <w:r w:rsidRPr="001F7D16">
        <w:rPr>
          <w:rFonts w:ascii="Times New Roman" w:hAnsi="Times New Roman" w:cs="Times New Roman"/>
          <w:bCs/>
          <w:sz w:val="24"/>
          <w:szCs w:val="24"/>
        </w:rPr>
        <w:t xml:space="preserve"> scientific risks involved with human germline modifications through Mitochondrial Replacement Therapy and Human Genome Editing.</w:t>
      </w:r>
    </w:p>
    <w:p w14:paraId="29488BAF" w14:textId="77777777" w:rsidR="002F7FD3" w:rsidRPr="001F7D16" w:rsidRDefault="002F7FD3" w:rsidP="002F7FD3">
      <w:pPr>
        <w:pStyle w:val="NoSpacing"/>
        <w:ind w:left="360"/>
        <w:rPr>
          <w:rFonts w:ascii="Times New Roman" w:hAnsi="Times New Roman" w:cs="Times New Roman"/>
          <w:bCs/>
          <w:sz w:val="24"/>
          <w:szCs w:val="24"/>
        </w:rPr>
      </w:pPr>
    </w:p>
    <w:p w14:paraId="5F237ABC" w14:textId="77777777" w:rsidR="002F7FD3" w:rsidRPr="001F7D16" w:rsidRDefault="002F7FD3" w:rsidP="009A6858">
      <w:pPr>
        <w:pStyle w:val="NoSpacing"/>
        <w:numPr>
          <w:ilvl w:val="1"/>
          <w:numId w:val="31"/>
        </w:numPr>
        <w:rPr>
          <w:rFonts w:ascii="Times New Roman" w:hAnsi="Times New Roman" w:cs="Times New Roman"/>
          <w:bCs/>
          <w:sz w:val="24"/>
          <w:szCs w:val="24"/>
        </w:rPr>
      </w:pPr>
      <w:r w:rsidRPr="001F7D16">
        <w:rPr>
          <w:rFonts w:ascii="Times New Roman" w:hAnsi="Times New Roman" w:cs="Times New Roman"/>
          <w:bCs/>
          <w:sz w:val="24"/>
          <w:szCs w:val="24"/>
          <w:u w:val="single"/>
        </w:rPr>
        <w:t>Risks of Mitochondrial Replacement Therapy</w:t>
      </w:r>
    </w:p>
    <w:p w14:paraId="0F6CE7AD" w14:textId="5F00F03D" w:rsidR="002F7FD3" w:rsidRPr="001F7D16" w:rsidRDefault="002F7FD3" w:rsidP="002F7FD3">
      <w:pPr>
        <w:pStyle w:val="NoSpacing"/>
        <w:rPr>
          <w:rFonts w:ascii="Times New Roman" w:hAnsi="Times New Roman" w:cs="Times New Roman"/>
          <w:bCs/>
          <w:sz w:val="24"/>
          <w:szCs w:val="24"/>
        </w:rPr>
      </w:pPr>
    </w:p>
    <w:p w14:paraId="60008494" w14:textId="77777777" w:rsidR="002F7FD3" w:rsidRPr="001F7D16" w:rsidRDefault="002F7FD3" w:rsidP="009A6858">
      <w:pPr>
        <w:pStyle w:val="NoSpacing"/>
        <w:numPr>
          <w:ilvl w:val="2"/>
          <w:numId w:val="31"/>
        </w:numPr>
        <w:rPr>
          <w:rFonts w:ascii="Times New Roman" w:hAnsi="Times New Roman" w:cs="Times New Roman"/>
          <w:bCs/>
          <w:sz w:val="24"/>
          <w:szCs w:val="24"/>
        </w:rPr>
      </w:pPr>
      <w:r w:rsidRPr="001F7D16">
        <w:rPr>
          <w:rFonts w:ascii="Times New Roman" w:hAnsi="Times New Roman" w:cs="Times New Roman"/>
          <w:bCs/>
          <w:sz w:val="24"/>
          <w:szCs w:val="24"/>
        </w:rPr>
        <w:t>There are problems determining efficacy and whether the procedure works as intended.</w:t>
      </w:r>
    </w:p>
    <w:p w14:paraId="6A49FDE1" w14:textId="77777777" w:rsidR="002F7FD3" w:rsidRPr="001F7D16" w:rsidRDefault="002F7FD3" w:rsidP="002F7FD3">
      <w:pPr>
        <w:pStyle w:val="NoSpacing"/>
        <w:ind w:left="2520"/>
        <w:rPr>
          <w:rFonts w:ascii="Times New Roman" w:hAnsi="Times New Roman" w:cs="Times New Roman"/>
          <w:bCs/>
          <w:sz w:val="24"/>
          <w:szCs w:val="24"/>
        </w:rPr>
      </w:pPr>
    </w:p>
    <w:p w14:paraId="339D99F9" w14:textId="77777777" w:rsidR="002F7FD3" w:rsidRPr="001F7D16" w:rsidRDefault="002F7FD3" w:rsidP="009A6858">
      <w:pPr>
        <w:pStyle w:val="NoSpacing"/>
        <w:numPr>
          <w:ilvl w:val="2"/>
          <w:numId w:val="31"/>
        </w:numPr>
        <w:rPr>
          <w:rFonts w:ascii="Times New Roman" w:hAnsi="Times New Roman" w:cs="Times New Roman"/>
          <w:bCs/>
          <w:sz w:val="24"/>
          <w:szCs w:val="24"/>
        </w:rPr>
      </w:pPr>
      <w:r w:rsidRPr="001F7D16">
        <w:rPr>
          <w:rFonts w:ascii="Times New Roman" w:hAnsi="Times New Roman" w:cs="Times New Roman"/>
          <w:bCs/>
          <w:sz w:val="24"/>
          <w:szCs w:val="24"/>
        </w:rPr>
        <w:t>Even if it initially appears that the procedure worked, the modification may not work as more time passes.</w:t>
      </w:r>
    </w:p>
    <w:p w14:paraId="75F76D35" w14:textId="77777777" w:rsidR="002F7FD3" w:rsidRPr="001F7D16" w:rsidRDefault="002F7FD3" w:rsidP="002F7FD3">
      <w:pPr>
        <w:pStyle w:val="NoSpacing"/>
        <w:ind w:left="2520"/>
        <w:rPr>
          <w:rFonts w:ascii="Times New Roman" w:hAnsi="Times New Roman" w:cs="Times New Roman"/>
          <w:bCs/>
          <w:sz w:val="24"/>
          <w:szCs w:val="24"/>
        </w:rPr>
      </w:pPr>
    </w:p>
    <w:p w14:paraId="302581B1" w14:textId="43FED1BB" w:rsidR="002F7FD3" w:rsidRPr="001F7D16" w:rsidRDefault="002F7FD3" w:rsidP="009A6858">
      <w:pPr>
        <w:pStyle w:val="NoSpacing"/>
        <w:numPr>
          <w:ilvl w:val="2"/>
          <w:numId w:val="31"/>
        </w:numPr>
        <w:rPr>
          <w:rFonts w:ascii="Times New Roman" w:hAnsi="Times New Roman" w:cs="Times New Roman"/>
          <w:bCs/>
          <w:sz w:val="24"/>
          <w:szCs w:val="24"/>
        </w:rPr>
      </w:pPr>
      <w:r w:rsidRPr="001F7D16">
        <w:rPr>
          <w:rFonts w:ascii="Times New Roman" w:hAnsi="Times New Roman" w:cs="Times New Roman"/>
          <w:bCs/>
          <w:sz w:val="24"/>
          <w:szCs w:val="24"/>
        </w:rPr>
        <w:t xml:space="preserve">There are </w:t>
      </w:r>
      <w:r w:rsidR="00F253C7" w:rsidRPr="001F7D16">
        <w:rPr>
          <w:rFonts w:ascii="Times New Roman" w:hAnsi="Times New Roman" w:cs="Times New Roman"/>
          <w:bCs/>
          <w:sz w:val="24"/>
          <w:szCs w:val="24"/>
        </w:rPr>
        <w:t>severe</w:t>
      </w:r>
      <w:r w:rsidRPr="001F7D16">
        <w:rPr>
          <w:rFonts w:ascii="Times New Roman" w:hAnsi="Times New Roman" w:cs="Times New Roman"/>
          <w:bCs/>
          <w:sz w:val="24"/>
          <w:szCs w:val="24"/>
        </w:rPr>
        <w:t xml:space="preserve"> health risks involving in disrupting Mitochondrial DNA. </w:t>
      </w:r>
    </w:p>
    <w:p w14:paraId="48D62A01" w14:textId="77777777" w:rsidR="002F7FD3" w:rsidRPr="001F7D16" w:rsidRDefault="002F7FD3" w:rsidP="002F7FD3">
      <w:pPr>
        <w:pStyle w:val="NoSpacing"/>
        <w:ind w:left="2520"/>
        <w:rPr>
          <w:rFonts w:ascii="Times New Roman" w:hAnsi="Times New Roman" w:cs="Times New Roman"/>
          <w:bCs/>
          <w:sz w:val="24"/>
          <w:szCs w:val="24"/>
        </w:rPr>
      </w:pPr>
    </w:p>
    <w:p w14:paraId="0FB5A862" w14:textId="77777777" w:rsidR="002F7FD3" w:rsidRPr="001F7D16" w:rsidRDefault="002F7FD3" w:rsidP="009A6858">
      <w:pPr>
        <w:pStyle w:val="NoSpacing"/>
        <w:numPr>
          <w:ilvl w:val="2"/>
          <w:numId w:val="31"/>
        </w:numPr>
        <w:rPr>
          <w:rFonts w:ascii="Times New Roman" w:hAnsi="Times New Roman" w:cs="Times New Roman"/>
          <w:bCs/>
          <w:sz w:val="24"/>
          <w:szCs w:val="24"/>
        </w:rPr>
      </w:pPr>
      <w:r w:rsidRPr="001F7D16">
        <w:rPr>
          <w:rFonts w:ascii="Times New Roman" w:hAnsi="Times New Roman" w:cs="Times New Roman"/>
          <w:bCs/>
          <w:sz w:val="24"/>
          <w:szCs w:val="24"/>
        </w:rPr>
        <w:t>A live birth does not equate to a healthy child.</w:t>
      </w:r>
    </w:p>
    <w:p w14:paraId="2976F574" w14:textId="12B39DB3" w:rsidR="002F7FD3" w:rsidRPr="001F7D16" w:rsidRDefault="002F7FD3" w:rsidP="002F7FD3">
      <w:pPr>
        <w:pStyle w:val="NoSpacing"/>
        <w:ind w:left="1800"/>
        <w:rPr>
          <w:rFonts w:ascii="Times New Roman" w:hAnsi="Times New Roman" w:cs="Times New Roman"/>
          <w:bCs/>
          <w:sz w:val="24"/>
          <w:szCs w:val="24"/>
        </w:rPr>
      </w:pPr>
      <w:r w:rsidRPr="001F7D16">
        <w:rPr>
          <w:rFonts w:ascii="Times New Roman" w:hAnsi="Times New Roman" w:cs="Times New Roman"/>
          <w:bCs/>
          <w:sz w:val="24"/>
          <w:szCs w:val="24"/>
        </w:rPr>
        <w:t xml:space="preserve"> </w:t>
      </w:r>
    </w:p>
    <w:p w14:paraId="53B31B1C" w14:textId="77777777" w:rsidR="002F7FD3" w:rsidRPr="001F7D16" w:rsidRDefault="002F7FD3" w:rsidP="009A6858">
      <w:pPr>
        <w:pStyle w:val="NoSpacing"/>
        <w:numPr>
          <w:ilvl w:val="1"/>
          <w:numId w:val="31"/>
        </w:numPr>
        <w:rPr>
          <w:rFonts w:ascii="Times New Roman" w:hAnsi="Times New Roman" w:cs="Times New Roman"/>
          <w:bCs/>
          <w:sz w:val="24"/>
          <w:szCs w:val="24"/>
        </w:rPr>
      </w:pPr>
      <w:r w:rsidRPr="001F7D16">
        <w:rPr>
          <w:rFonts w:ascii="Times New Roman" w:hAnsi="Times New Roman" w:cs="Times New Roman"/>
          <w:bCs/>
          <w:sz w:val="24"/>
          <w:szCs w:val="24"/>
          <w:u w:val="single"/>
        </w:rPr>
        <w:t>Risks of Human Genome Editing Human Embryos</w:t>
      </w:r>
    </w:p>
    <w:p w14:paraId="1923F550" w14:textId="77777777" w:rsidR="002F7FD3" w:rsidRPr="001F7D16" w:rsidRDefault="002F7FD3" w:rsidP="002F7FD3">
      <w:pPr>
        <w:pStyle w:val="NoSpacing"/>
        <w:ind w:left="1080"/>
        <w:rPr>
          <w:rFonts w:ascii="Times New Roman" w:hAnsi="Times New Roman" w:cs="Times New Roman"/>
          <w:bCs/>
          <w:sz w:val="24"/>
          <w:szCs w:val="24"/>
        </w:rPr>
      </w:pPr>
    </w:p>
    <w:p w14:paraId="1386C65F" w14:textId="77777777" w:rsidR="002F7FD3" w:rsidRPr="001F7D16" w:rsidRDefault="002F7FD3" w:rsidP="009A6858">
      <w:pPr>
        <w:pStyle w:val="NoSpacing"/>
        <w:numPr>
          <w:ilvl w:val="2"/>
          <w:numId w:val="31"/>
        </w:numPr>
        <w:rPr>
          <w:rFonts w:ascii="Times New Roman" w:hAnsi="Times New Roman" w:cs="Times New Roman"/>
          <w:bCs/>
          <w:sz w:val="24"/>
          <w:szCs w:val="24"/>
        </w:rPr>
      </w:pPr>
      <w:r w:rsidRPr="001F7D16">
        <w:rPr>
          <w:rFonts w:ascii="Times New Roman" w:hAnsi="Times New Roman" w:cs="Times New Roman"/>
          <w:bCs/>
          <w:sz w:val="24"/>
          <w:szCs w:val="24"/>
        </w:rPr>
        <w:t>There are problems determining efficiency and whether the procedure worked.</w:t>
      </w:r>
    </w:p>
    <w:p w14:paraId="617529A9" w14:textId="77777777" w:rsidR="002F7FD3" w:rsidRPr="001F7D16" w:rsidRDefault="002F7FD3" w:rsidP="002F7FD3">
      <w:pPr>
        <w:pStyle w:val="NoSpacing"/>
        <w:ind w:left="2520"/>
        <w:rPr>
          <w:rFonts w:ascii="Times New Roman" w:hAnsi="Times New Roman" w:cs="Times New Roman"/>
          <w:bCs/>
          <w:sz w:val="24"/>
          <w:szCs w:val="24"/>
        </w:rPr>
      </w:pPr>
    </w:p>
    <w:p w14:paraId="66CC1C59" w14:textId="77777777" w:rsidR="002F7FD3" w:rsidRPr="001F7D16" w:rsidRDefault="002F7FD3" w:rsidP="009A6858">
      <w:pPr>
        <w:pStyle w:val="NoSpacing"/>
        <w:numPr>
          <w:ilvl w:val="2"/>
          <w:numId w:val="31"/>
        </w:numPr>
        <w:rPr>
          <w:rFonts w:ascii="Times New Roman" w:hAnsi="Times New Roman" w:cs="Times New Roman"/>
          <w:bCs/>
          <w:sz w:val="24"/>
          <w:szCs w:val="24"/>
        </w:rPr>
      </w:pPr>
      <w:r w:rsidRPr="001F7D16">
        <w:rPr>
          <w:rFonts w:ascii="Times New Roman" w:hAnsi="Times New Roman" w:cs="Times New Roman"/>
          <w:bCs/>
          <w:sz w:val="24"/>
          <w:szCs w:val="24"/>
        </w:rPr>
        <w:t>Genome editing results in unpredictable effects on human development.</w:t>
      </w:r>
    </w:p>
    <w:p w14:paraId="119260F3" w14:textId="77777777" w:rsidR="002F7FD3" w:rsidRPr="001F7D16" w:rsidRDefault="002F7FD3" w:rsidP="002F7FD3">
      <w:pPr>
        <w:pStyle w:val="ListParagraph"/>
        <w:ind w:left="3240"/>
        <w:rPr>
          <w:bCs/>
        </w:rPr>
      </w:pPr>
    </w:p>
    <w:p w14:paraId="379E0ADE" w14:textId="77777777" w:rsidR="002F7FD3" w:rsidRPr="001F7D16" w:rsidRDefault="002F7FD3" w:rsidP="009A6858">
      <w:pPr>
        <w:pStyle w:val="ListParagraph"/>
        <w:numPr>
          <w:ilvl w:val="2"/>
          <w:numId w:val="31"/>
        </w:numPr>
        <w:rPr>
          <w:bCs/>
        </w:rPr>
      </w:pPr>
      <w:r w:rsidRPr="001F7D16">
        <w:rPr>
          <w:bCs/>
        </w:rPr>
        <w:lastRenderedPageBreak/>
        <w:t>In animal models, germline modifications induced multiple devastating effects, ranging from latent health deficits, inducing tumor growth, and producing developmental abnormalities.</w:t>
      </w:r>
      <w:r w:rsidRPr="001F7D16">
        <w:rPr>
          <w:rStyle w:val="EndnoteReference"/>
          <w:bCs/>
        </w:rPr>
        <w:endnoteReference w:id="13"/>
      </w:r>
    </w:p>
    <w:p w14:paraId="3CE1FB20" w14:textId="77777777" w:rsidR="002F7FD3" w:rsidRPr="001F7D16" w:rsidRDefault="002F7FD3" w:rsidP="002F7FD3">
      <w:pPr>
        <w:pStyle w:val="ListParagraph"/>
        <w:ind w:left="3240"/>
        <w:rPr>
          <w:bCs/>
        </w:rPr>
      </w:pPr>
    </w:p>
    <w:p w14:paraId="446BC2C8" w14:textId="77777777" w:rsidR="002F7FD3" w:rsidRPr="001F7D16" w:rsidRDefault="002F7FD3" w:rsidP="009A6858">
      <w:pPr>
        <w:pStyle w:val="ListParagraph"/>
        <w:numPr>
          <w:ilvl w:val="2"/>
          <w:numId w:val="31"/>
        </w:numPr>
        <w:rPr>
          <w:bCs/>
        </w:rPr>
      </w:pPr>
      <w:r w:rsidRPr="001F7D16">
        <w:rPr>
          <w:bCs/>
        </w:rPr>
        <w:t>Genome editing may result in mosaicism, where some cells contain genetic modification and other cells do not demonstrate the intended modification.</w:t>
      </w:r>
      <w:r w:rsidRPr="001F7D16">
        <w:rPr>
          <w:rStyle w:val="EndnoteReference"/>
          <w:bCs/>
        </w:rPr>
        <w:endnoteReference w:id="14"/>
      </w:r>
      <w:r w:rsidRPr="001F7D16">
        <w:rPr>
          <w:bCs/>
        </w:rPr>
        <w:t xml:space="preserve">  Mosaicism can result in gross structural abnormalities, major Mendelian disorders, cell and tissue degeneration associated with aging, and death.</w:t>
      </w:r>
      <w:r w:rsidRPr="001F7D16">
        <w:rPr>
          <w:rStyle w:val="EndnoteReference"/>
          <w:bCs/>
        </w:rPr>
        <w:endnoteReference w:id="15"/>
      </w:r>
      <w:r w:rsidRPr="001F7D16">
        <w:rPr>
          <w:bCs/>
        </w:rPr>
        <w:t xml:space="preserve">  </w:t>
      </w:r>
    </w:p>
    <w:p w14:paraId="3519C725" w14:textId="77777777" w:rsidR="002F7FD3" w:rsidRPr="001F7D16" w:rsidRDefault="002F7FD3" w:rsidP="002F7FD3">
      <w:pPr>
        <w:pStyle w:val="ListParagraph"/>
        <w:ind w:left="2520"/>
        <w:rPr>
          <w:bCs/>
        </w:rPr>
      </w:pPr>
    </w:p>
    <w:p w14:paraId="38F9A39E" w14:textId="77777777" w:rsidR="002F7FD3" w:rsidRPr="001F7D16" w:rsidRDefault="002F7FD3" w:rsidP="009A6858">
      <w:pPr>
        <w:pStyle w:val="ListParagraph"/>
        <w:numPr>
          <w:ilvl w:val="2"/>
          <w:numId w:val="31"/>
        </w:numPr>
        <w:rPr>
          <w:bCs/>
        </w:rPr>
      </w:pPr>
      <w:r w:rsidRPr="001F7D16">
        <w:rPr>
          <w:bCs/>
        </w:rPr>
        <w:t>Genome editing also produces off target effects, which impacts the functioning of the whole genome.</w:t>
      </w:r>
    </w:p>
    <w:p w14:paraId="35EB2B9B" w14:textId="5082CFF2" w:rsidR="002F7FD3" w:rsidRPr="001F7D16" w:rsidRDefault="002F7FD3" w:rsidP="009A6858">
      <w:pPr>
        <w:pStyle w:val="ListParagraph"/>
        <w:numPr>
          <w:ilvl w:val="3"/>
          <w:numId w:val="31"/>
        </w:numPr>
        <w:rPr>
          <w:bCs/>
        </w:rPr>
      </w:pPr>
      <w:r w:rsidRPr="001F7D16">
        <w:rPr>
          <w:bCs/>
        </w:rPr>
        <w:t>Identifying off target effects poses considerable challenges; not being able to identify off target effects does not mean they do not exist.</w:t>
      </w:r>
      <w:r w:rsidRPr="001F7D16">
        <w:rPr>
          <w:rStyle w:val="EndnoteReference"/>
          <w:bCs/>
        </w:rPr>
        <w:endnoteReference w:id="16"/>
      </w:r>
      <w:r w:rsidRPr="001F7D16">
        <w:rPr>
          <w:bCs/>
        </w:rPr>
        <w:t xml:space="preserve">  </w:t>
      </w:r>
    </w:p>
    <w:p w14:paraId="45704D3B" w14:textId="77777777" w:rsidR="002F7FD3" w:rsidRPr="001F7D16" w:rsidRDefault="002F7FD3" w:rsidP="002F7FD3">
      <w:pPr>
        <w:pStyle w:val="ListParagraph"/>
        <w:ind w:left="2520"/>
        <w:rPr>
          <w:bCs/>
        </w:rPr>
      </w:pPr>
    </w:p>
    <w:p w14:paraId="19F4AA4F" w14:textId="48BB5EEC" w:rsidR="002F7FD3" w:rsidRPr="001F7D16" w:rsidRDefault="002F7FD3" w:rsidP="009A6858">
      <w:pPr>
        <w:pStyle w:val="ListParagraph"/>
        <w:numPr>
          <w:ilvl w:val="0"/>
          <w:numId w:val="31"/>
        </w:numPr>
        <w:rPr>
          <w:bCs/>
        </w:rPr>
      </w:pPr>
      <w:r w:rsidRPr="001F7D16">
        <w:rPr>
          <w:bCs/>
        </w:rPr>
        <w:t xml:space="preserve">The available evidence demonstrates germline modification technologies could </w:t>
      </w:r>
      <w:r w:rsidRPr="001F7D16">
        <w:rPr>
          <w:bCs/>
          <w:u w:val="single"/>
        </w:rPr>
        <w:t>not</w:t>
      </w:r>
      <w:r w:rsidRPr="001F7D16">
        <w:rPr>
          <w:bCs/>
        </w:rPr>
        <w:t xml:space="preserve"> effectively address genetic disease or infertility.  </w:t>
      </w:r>
    </w:p>
    <w:p w14:paraId="5A3659BC" w14:textId="77777777" w:rsidR="002F7FD3" w:rsidRPr="001F7D16" w:rsidRDefault="002F7FD3" w:rsidP="002F7FD3">
      <w:pPr>
        <w:pStyle w:val="ListParagraph"/>
        <w:ind w:left="360"/>
        <w:rPr>
          <w:bCs/>
        </w:rPr>
      </w:pPr>
    </w:p>
    <w:p w14:paraId="6F0F736A" w14:textId="77777777" w:rsidR="002F7FD3" w:rsidRPr="001F7D16" w:rsidRDefault="002F7FD3" w:rsidP="002F7FD3">
      <w:pPr>
        <w:pStyle w:val="ListParagraph"/>
        <w:ind w:left="360"/>
        <w:rPr>
          <w:bCs/>
        </w:rPr>
      </w:pPr>
    </w:p>
    <w:p w14:paraId="3ECB9554" w14:textId="77777777" w:rsidR="002F7FD3" w:rsidRPr="001F7D16" w:rsidRDefault="002F7FD3" w:rsidP="009A6858">
      <w:pPr>
        <w:pStyle w:val="ListParagraph"/>
        <w:numPr>
          <w:ilvl w:val="1"/>
          <w:numId w:val="31"/>
        </w:numPr>
        <w:rPr>
          <w:bCs/>
        </w:rPr>
      </w:pPr>
      <w:r w:rsidRPr="001F7D16">
        <w:rPr>
          <w:bCs/>
        </w:rPr>
        <w:t xml:space="preserve">MRT would not effectively and sustainably address causes of mitochondrial dysfunction.  </w:t>
      </w:r>
    </w:p>
    <w:p w14:paraId="232CA00B" w14:textId="77777777" w:rsidR="002F7FD3" w:rsidRPr="001F7D16" w:rsidRDefault="002F7FD3" w:rsidP="009A6858">
      <w:pPr>
        <w:pStyle w:val="ListParagraph"/>
        <w:numPr>
          <w:ilvl w:val="2"/>
          <w:numId w:val="31"/>
        </w:numPr>
        <w:rPr>
          <w:bCs/>
        </w:rPr>
      </w:pPr>
      <w:r w:rsidRPr="001F7D16">
        <w:rPr>
          <w:bCs/>
        </w:rPr>
        <w:t xml:space="preserve">MRT is </w:t>
      </w:r>
      <w:r w:rsidRPr="001F7D16">
        <w:rPr>
          <w:bCs/>
          <w:u w:val="single"/>
        </w:rPr>
        <w:t>not</w:t>
      </w:r>
      <w:r w:rsidRPr="001F7D16">
        <w:rPr>
          <w:bCs/>
        </w:rPr>
        <w:t xml:space="preserve"> designed to address most cases of mitochondrial disease.</w:t>
      </w:r>
    </w:p>
    <w:p w14:paraId="3A379250" w14:textId="77777777" w:rsidR="002F7FD3" w:rsidRPr="001F7D16" w:rsidRDefault="002F7FD3" w:rsidP="002F7FD3">
      <w:pPr>
        <w:pStyle w:val="ListParagraph"/>
        <w:ind w:left="2520"/>
        <w:rPr>
          <w:bCs/>
        </w:rPr>
      </w:pPr>
    </w:p>
    <w:p w14:paraId="00F4DE5C" w14:textId="77777777" w:rsidR="002F7FD3" w:rsidRPr="001F7D16" w:rsidRDefault="002F7FD3" w:rsidP="009A6858">
      <w:pPr>
        <w:pStyle w:val="ListParagraph"/>
        <w:numPr>
          <w:ilvl w:val="1"/>
          <w:numId w:val="31"/>
        </w:numPr>
        <w:rPr>
          <w:bCs/>
        </w:rPr>
      </w:pPr>
      <w:r w:rsidRPr="001F7D16">
        <w:rPr>
          <w:bCs/>
        </w:rPr>
        <w:t>It may not be feasible to use Human Genome Editing as a method to address genetic disease and infertility.</w:t>
      </w:r>
    </w:p>
    <w:p w14:paraId="4D0313FD" w14:textId="77777777" w:rsidR="002F7FD3" w:rsidRPr="001F7D16" w:rsidRDefault="002F7FD3" w:rsidP="009A6858">
      <w:pPr>
        <w:pStyle w:val="ListParagraph"/>
        <w:numPr>
          <w:ilvl w:val="2"/>
          <w:numId w:val="31"/>
        </w:numPr>
        <w:rPr>
          <w:bCs/>
        </w:rPr>
      </w:pPr>
      <w:r w:rsidRPr="001F7D16">
        <w:rPr>
          <w:bCs/>
        </w:rPr>
        <w:t xml:space="preserve">Genome editing presumes that scientists can properly identify and classify which variants are pathogenic and cause disease: this is a misleading oversimplification.  </w:t>
      </w:r>
    </w:p>
    <w:p w14:paraId="47780DF4" w14:textId="77777777" w:rsidR="002F7FD3" w:rsidRPr="001F7D16" w:rsidRDefault="002F7FD3" w:rsidP="002F7FD3">
      <w:pPr>
        <w:pStyle w:val="ListParagraph"/>
        <w:ind w:left="1800"/>
        <w:rPr>
          <w:bCs/>
        </w:rPr>
      </w:pPr>
    </w:p>
    <w:p w14:paraId="63BC3576" w14:textId="77777777" w:rsidR="002F7FD3" w:rsidRPr="001F7D16" w:rsidRDefault="002F7FD3" w:rsidP="009A6858">
      <w:pPr>
        <w:pStyle w:val="ListParagraph"/>
        <w:numPr>
          <w:ilvl w:val="1"/>
          <w:numId w:val="31"/>
        </w:numPr>
        <w:rPr>
          <w:bCs/>
        </w:rPr>
      </w:pPr>
      <w:r w:rsidRPr="001F7D16">
        <w:rPr>
          <w:bCs/>
        </w:rPr>
        <w:t>Disease does not occur simply because of a “genetic flaw” or “faulty genes,” but genetic variants appear as one of many causal factors in multifactorial diseases.  Many people have a harmful mutation, but never develop the disease.</w:t>
      </w:r>
    </w:p>
    <w:p w14:paraId="77274C41" w14:textId="77777777" w:rsidR="002F7FD3" w:rsidRPr="001F7D16" w:rsidRDefault="002F7FD3" w:rsidP="002F7FD3">
      <w:pPr>
        <w:pStyle w:val="ListParagraph"/>
        <w:ind w:left="2520"/>
        <w:rPr>
          <w:bCs/>
        </w:rPr>
      </w:pPr>
    </w:p>
    <w:p w14:paraId="39A561D5" w14:textId="77777777" w:rsidR="002F7FD3" w:rsidRPr="001F7D16" w:rsidRDefault="002F7FD3" w:rsidP="009A6858">
      <w:pPr>
        <w:pStyle w:val="ListParagraph"/>
        <w:numPr>
          <w:ilvl w:val="1"/>
          <w:numId w:val="31"/>
        </w:numPr>
        <w:rPr>
          <w:bCs/>
        </w:rPr>
      </w:pPr>
      <w:r w:rsidRPr="001F7D16">
        <w:rPr>
          <w:bCs/>
        </w:rPr>
        <w:t>Even genome editing may not be able to fix monogenic (single gene diseases) like Huntington’s Disease or Cystic Fibrosis.</w:t>
      </w:r>
    </w:p>
    <w:p w14:paraId="5E0073FE" w14:textId="77777777" w:rsidR="002F7FD3" w:rsidRPr="001F7D16" w:rsidRDefault="002F7FD3" w:rsidP="002F7FD3">
      <w:pPr>
        <w:pStyle w:val="ListParagraph"/>
        <w:ind w:left="1800"/>
        <w:rPr>
          <w:bCs/>
        </w:rPr>
      </w:pPr>
    </w:p>
    <w:p w14:paraId="526ED1A1" w14:textId="77777777" w:rsidR="002F7FD3" w:rsidRPr="001F7D16" w:rsidRDefault="002F7FD3" w:rsidP="009A6858">
      <w:pPr>
        <w:pStyle w:val="ListParagraph"/>
        <w:numPr>
          <w:ilvl w:val="1"/>
          <w:numId w:val="31"/>
        </w:numPr>
        <w:rPr>
          <w:bCs/>
        </w:rPr>
      </w:pPr>
      <w:r w:rsidRPr="001F7D16">
        <w:rPr>
          <w:bCs/>
        </w:rPr>
        <w:t xml:space="preserve">Scientific evidence does not support using MRT or Genome Editing as means to treat infertility.  </w:t>
      </w:r>
    </w:p>
    <w:p w14:paraId="75B55254" w14:textId="77777777" w:rsidR="002F7FD3" w:rsidRPr="001F7D16" w:rsidRDefault="002F7FD3" w:rsidP="002F7FD3">
      <w:pPr>
        <w:pStyle w:val="NoSpacing"/>
        <w:ind w:left="360"/>
        <w:rPr>
          <w:rFonts w:ascii="Times New Roman" w:hAnsi="Times New Roman" w:cs="Times New Roman"/>
          <w:bCs/>
          <w:sz w:val="24"/>
          <w:szCs w:val="24"/>
        </w:rPr>
      </w:pPr>
    </w:p>
    <w:p w14:paraId="48245A46" w14:textId="77777777" w:rsidR="002F7FD3" w:rsidRPr="001F7D16" w:rsidRDefault="002F7FD3" w:rsidP="002F7FD3">
      <w:pPr>
        <w:pStyle w:val="NoSpacing"/>
        <w:rPr>
          <w:rFonts w:ascii="Times New Roman" w:hAnsi="Times New Roman" w:cs="Times New Roman"/>
          <w:bCs/>
          <w:sz w:val="24"/>
          <w:szCs w:val="24"/>
        </w:rPr>
      </w:pPr>
    </w:p>
    <w:p w14:paraId="35A80FB7" w14:textId="51A902A6" w:rsidR="002F7FD3" w:rsidRPr="00B55266" w:rsidRDefault="002F7FD3" w:rsidP="002F7FD3">
      <w:pPr>
        <w:pStyle w:val="NoSpacing"/>
        <w:rPr>
          <w:rFonts w:ascii="Times New Roman" w:hAnsi="Times New Roman"/>
          <w:b/>
          <w:i/>
          <w:iCs/>
          <w:sz w:val="24"/>
          <w:szCs w:val="24"/>
        </w:rPr>
      </w:pPr>
      <w:r w:rsidRPr="00B55266">
        <w:rPr>
          <w:rFonts w:ascii="Times New Roman" w:hAnsi="Times New Roman"/>
          <w:b/>
          <w:i/>
          <w:iCs/>
          <w:sz w:val="24"/>
          <w:szCs w:val="24"/>
        </w:rPr>
        <w:t>CONCLUSION</w:t>
      </w:r>
      <w:r w:rsidR="00B55266">
        <w:rPr>
          <w:rFonts w:ascii="Times New Roman" w:hAnsi="Times New Roman"/>
          <w:b/>
          <w:i/>
          <w:iCs/>
          <w:sz w:val="24"/>
          <w:szCs w:val="24"/>
        </w:rPr>
        <w:t>:</w:t>
      </w:r>
    </w:p>
    <w:p w14:paraId="0B6FA29F" w14:textId="77777777" w:rsidR="002F7FD3" w:rsidRPr="001F7D16" w:rsidRDefault="002F7FD3" w:rsidP="002F7FD3">
      <w:pPr>
        <w:pStyle w:val="NoSpacing"/>
        <w:rPr>
          <w:rFonts w:ascii="Times New Roman" w:hAnsi="Times New Roman"/>
          <w:bCs/>
          <w:sz w:val="24"/>
          <w:szCs w:val="24"/>
        </w:rPr>
      </w:pPr>
    </w:p>
    <w:p w14:paraId="54BE57A5" w14:textId="0859CBCD" w:rsidR="002F7FD3" w:rsidRPr="001F7D16" w:rsidRDefault="002F7FD3" w:rsidP="002F7FD3">
      <w:pPr>
        <w:pStyle w:val="NoSpacing"/>
        <w:rPr>
          <w:rFonts w:ascii="Times New Roman" w:hAnsi="Times New Roman"/>
          <w:bCs/>
          <w:sz w:val="24"/>
          <w:szCs w:val="24"/>
        </w:rPr>
      </w:pPr>
      <w:r w:rsidRPr="001F7D16">
        <w:rPr>
          <w:rFonts w:ascii="Times New Roman" w:hAnsi="Times New Roman"/>
          <w:bCs/>
          <w:sz w:val="24"/>
          <w:szCs w:val="24"/>
        </w:rPr>
        <w:t xml:space="preserve">Based on global legal consensus against germline modification of human embryos and scientific evidence demonstrating serious risks of Mitochondrial Replacement Therapy and Human Genome Editing, </w:t>
      </w:r>
      <w:r w:rsidR="00F253C7" w:rsidRPr="001F7D16">
        <w:rPr>
          <w:rFonts w:ascii="Times New Roman" w:hAnsi="Times New Roman"/>
          <w:bCs/>
          <w:sz w:val="24"/>
          <w:szCs w:val="24"/>
        </w:rPr>
        <w:t>the Congressional Appropriations Committee should retain Section 733</w:t>
      </w:r>
      <w:r w:rsidR="000B36D3" w:rsidRPr="001F7D16">
        <w:rPr>
          <w:rFonts w:ascii="Times New Roman" w:hAnsi="Times New Roman"/>
          <w:bCs/>
          <w:sz w:val="24"/>
          <w:szCs w:val="24"/>
        </w:rPr>
        <w:t xml:space="preserve"> </w:t>
      </w:r>
      <w:r w:rsidR="000B36D3" w:rsidRPr="001F7D16">
        <w:rPr>
          <w:rFonts w:ascii="Times New Roman" w:hAnsi="Times New Roman"/>
          <w:bCs/>
          <w:sz w:val="24"/>
          <w:szCs w:val="24"/>
        </w:rPr>
        <w:t>without modification</w:t>
      </w:r>
      <w:r w:rsidR="00F253C7" w:rsidRPr="001F7D16">
        <w:rPr>
          <w:rFonts w:ascii="Times New Roman" w:hAnsi="Times New Roman"/>
          <w:bCs/>
          <w:sz w:val="24"/>
          <w:szCs w:val="24"/>
        </w:rPr>
        <w:t>.</w:t>
      </w:r>
    </w:p>
    <w:p w14:paraId="4CA77D0E" w14:textId="6DC138EC" w:rsidR="008E1C19" w:rsidRPr="00E64372" w:rsidRDefault="002F7FD3" w:rsidP="00701582">
      <w:pPr>
        <w:spacing w:after="160" w:line="259" w:lineRule="auto"/>
        <w:rPr>
          <w:i/>
          <w:kern w:val="28"/>
        </w:rPr>
      </w:pPr>
      <w:r>
        <w:rPr>
          <w:b/>
        </w:rPr>
        <w:br w:type="page"/>
      </w:r>
    </w:p>
    <w:p w14:paraId="3E5E075F" w14:textId="5AF107BA" w:rsidR="00734901" w:rsidRDefault="00701582" w:rsidP="00701582">
      <w:pPr>
        <w:pStyle w:val="NoSpacing"/>
        <w:jc w:val="center"/>
        <w:rPr>
          <w:rFonts w:ascii="Times New Roman" w:hAnsi="Times New Roman" w:cs="Times New Roman"/>
          <w:b/>
          <w:sz w:val="32"/>
          <w:szCs w:val="32"/>
          <w:shd w:val="clear" w:color="auto" w:fill="FFFFFF"/>
        </w:rPr>
      </w:pPr>
      <w:r w:rsidRPr="00701582">
        <w:rPr>
          <w:rFonts w:ascii="Times New Roman" w:hAnsi="Times New Roman" w:cs="Times New Roman"/>
          <w:b/>
          <w:sz w:val="32"/>
          <w:szCs w:val="32"/>
          <w:shd w:val="clear" w:color="auto" w:fill="FFFFFF"/>
        </w:rPr>
        <w:lastRenderedPageBreak/>
        <w:t>DESCRIPTIVE POLICY BRIEF</w:t>
      </w:r>
    </w:p>
    <w:p w14:paraId="6BC25D82" w14:textId="57714655" w:rsidR="00701582" w:rsidRDefault="00701582" w:rsidP="00701582">
      <w:pPr>
        <w:pStyle w:val="NoSpacing"/>
        <w:jc w:val="center"/>
        <w:rPr>
          <w:rFonts w:ascii="Times New Roman" w:hAnsi="Times New Roman" w:cs="Times New Roman"/>
          <w:b/>
          <w:sz w:val="32"/>
          <w:szCs w:val="32"/>
          <w:shd w:val="clear" w:color="auto" w:fill="FFFFFF"/>
        </w:rPr>
      </w:pPr>
    </w:p>
    <w:p w14:paraId="2FA4204B" w14:textId="77777777" w:rsidR="00701582" w:rsidRDefault="00701582" w:rsidP="00701582">
      <w:pPr>
        <w:pStyle w:val="NoSpacing"/>
        <w:jc w:val="center"/>
        <w:rPr>
          <w:rFonts w:ascii="Times New Roman" w:hAnsi="Times New Roman" w:cs="Times New Roman"/>
          <w:b/>
          <w:sz w:val="32"/>
          <w:szCs w:val="32"/>
          <w:shd w:val="clear" w:color="auto" w:fill="FFFFFF"/>
        </w:rPr>
      </w:pPr>
    </w:p>
    <w:p w14:paraId="1721D877" w14:textId="77777777" w:rsidR="001F7D16" w:rsidRPr="005A7E57" w:rsidRDefault="001F7D16" w:rsidP="001F7D16">
      <w:pPr>
        <w:pStyle w:val="NoSpacing"/>
        <w:rPr>
          <w:rFonts w:ascii="Times New Roman" w:hAnsi="Times New Roman" w:cs="Times New Roman"/>
          <w:b/>
          <w:i/>
          <w:caps/>
          <w:sz w:val="24"/>
          <w:szCs w:val="24"/>
          <w:shd w:val="clear" w:color="auto" w:fill="FFFFFF"/>
        </w:rPr>
      </w:pPr>
      <w:r w:rsidRPr="005A7E57">
        <w:rPr>
          <w:rFonts w:ascii="Times New Roman" w:hAnsi="Times New Roman" w:cs="Times New Roman"/>
          <w:b/>
          <w:i/>
          <w:caps/>
          <w:sz w:val="24"/>
          <w:szCs w:val="24"/>
          <w:shd w:val="clear" w:color="auto" w:fill="FFFFFF"/>
        </w:rPr>
        <w:t>Background:</w:t>
      </w:r>
    </w:p>
    <w:p w14:paraId="087A1D08" w14:textId="77777777" w:rsidR="001F7D16" w:rsidRDefault="001F7D16" w:rsidP="001F7D16">
      <w:pPr>
        <w:pStyle w:val="NoSpacing"/>
        <w:rPr>
          <w:rFonts w:ascii="Times New Roman" w:hAnsi="Times New Roman" w:cs="Times New Roman"/>
          <w:b/>
          <w:i/>
          <w:sz w:val="24"/>
          <w:szCs w:val="24"/>
          <w:shd w:val="clear" w:color="auto" w:fill="FFFFFF"/>
        </w:rPr>
      </w:pPr>
    </w:p>
    <w:p w14:paraId="4FB8808A" w14:textId="77777777" w:rsidR="001F7D16" w:rsidRDefault="001F7D16" w:rsidP="001F7D16">
      <w:pPr>
        <w:pStyle w:val="NoSpacing"/>
        <w:rPr>
          <w:rFonts w:ascii="Times New Roman" w:hAnsi="Times New Roman" w:cs="Times New Roman"/>
          <w:sz w:val="24"/>
          <w:szCs w:val="24"/>
        </w:rPr>
      </w:pPr>
      <w:r w:rsidRPr="002F53F4">
        <w:rPr>
          <w:rFonts w:ascii="Times New Roman" w:hAnsi="Times New Roman" w:cs="Times New Roman"/>
          <w:sz w:val="24"/>
          <w:szCs w:val="24"/>
        </w:rPr>
        <w:t xml:space="preserve">On June 4, the House Appropriations Committee </w:t>
      </w:r>
      <w:r>
        <w:rPr>
          <w:rFonts w:ascii="Times New Roman" w:hAnsi="Times New Roman" w:cs="Times New Roman"/>
          <w:sz w:val="24"/>
          <w:szCs w:val="24"/>
        </w:rPr>
        <w:t xml:space="preserve">cast a bipartisan </w:t>
      </w:r>
      <w:r w:rsidRPr="002F53F4">
        <w:rPr>
          <w:rFonts w:ascii="Times New Roman" w:hAnsi="Times New Roman" w:cs="Times New Roman"/>
          <w:sz w:val="24"/>
          <w:szCs w:val="24"/>
        </w:rPr>
        <w:t xml:space="preserve">vote to reinstate </w:t>
      </w:r>
      <w:r>
        <w:rPr>
          <w:rFonts w:ascii="Times New Roman" w:hAnsi="Times New Roman" w:cs="Times New Roman"/>
          <w:sz w:val="24"/>
          <w:szCs w:val="24"/>
        </w:rPr>
        <w:t>a</w:t>
      </w:r>
      <w:r w:rsidRPr="002F53F4">
        <w:rPr>
          <w:rFonts w:ascii="Times New Roman" w:hAnsi="Times New Roman" w:cs="Times New Roman"/>
          <w:sz w:val="24"/>
          <w:szCs w:val="24"/>
        </w:rPr>
        <w:t xml:space="preserve"> rider to the Consolidated Appropriations Act that prohibits the FDA </w:t>
      </w:r>
      <w:r>
        <w:rPr>
          <w:rFonts w:ascii="Times New Roman" w:hAnsi="Times New Roman" w:cs="Times New Roman"/>
          <w:sz w:val="24"/>
          <w:szCs w:val="24"/>
        </w:rPr>
        <w:t>from</w:t>
      </w:r>
      <w:r w:rsidRPr="002F53F4">
        <w:rPr>
          <w:rFonts w:ascii="Times New Roman" w:hAnsi="Times New Roman" w:cs="Times New Roman"/>
          <w:sz w:val="24"/>
          <w:szCs w:val="24"/>
        </w:rPr>
        <w:t xml:space="preserve"> review</w:t>
      </w:r>
      <w:r>
        <w:rPr>
          <w:rFonts w:ascii="Times New Roman" w:hAnsi="Times New Roman" w:cs="Times New Roman"/>
          <w:sz w:val="24"/>
          <w:szCs w:val="24"/>
        </w:rPr>
        <w:t>ing</w:t>
      </w:r>
      <w:r w:rsidRPr="002F53F4">
        <w:rPr>
          <w:rFonts w:ascii="Times New Roman" w:hAnsi="Times New Roman" w:cs="Times New Roman"/>
          <w:sz w:val="24"/>
          <w:szCs w:val="24"/>
        </w:rPr>
        <w:t xml:space="preserve"> clinical applications in which a human embryo </w:t>
      </w:r>
      <w:r>
        <w:rPr>
          <w:rFonts w:ascii="Times New Roman" w:hAnsi="Times New Roman" w:cs="Times New Roman"/>
          <w:sz w:val="24"/>
          <w:szCs w:val="24"/>
        </w:rPr>
        <w:t>would be</w:t>
      </w:r>
      <w:r w:rsidRPr="002F53F4">
        <w:rPr>
          <w:rFonts w:ascii="Times New Roman" w:hAnsi="Times New Roman" w:cs="Times New Roman"/>
          <w:sz w:val="24"/>
          <w:szCs w:val="24"/>
        </w:rPr>
        <w:t xml:space="preserve"> intentionally created or modified to include a heritable genetic modification</w:t>
      </w:r>
      <w:r>
        <w:rPr>
          <w:rFonts w:ascii="Times New Roman" w:hAnsi="Times New Roman" w:cs="Times New Roman"/>
          <w:sz w:val="24"/>
          <w:szCs w:val="24"/>
        </w:rPr>
        <w:t>.  Prior to this vote, there was debate about whether to remove this provision to permit clinical trials to move forward for embryos that have germline modification in the form of Mitochondrial Replacement Therapy (MRT).  There have been calls by scientists and policymakers to provide an exception to permit MRT and potentially permit other forms of “therapeutic” genome editing for human embryos.</w:t>
      </w:r>
    </w:p>
    <w:p w14:paraId="742816A8" w14:textId="77777777" w:rsidR="001F7D16" w:rsidRPr="005A7E57" w:rsidRDefault="001F7D16" w:rsidP="001F7D16">
      <w:pPr>
        <w:pStyle w:val="NoSpacing"/>
        <w:rPr>
          <w:rFonts w:ascii="Times New Roman" w:hAnsi="Times New Roman" w:cs="Times New Roman"/>
          <w:sz w:val="24"/>
          <w:szCs w:val="24"/>
        </w:rPr>
      </w:pPr>
    </w:p>
    <w:p w14:paraId="40FA13C8" w14:textId="77777777" w:rsidR="001F7D16" w:rsidRPr="00EA0555" w:rsidRDefault="001F7D16" w:rsidP="001F7D16">
      <w:pPr>
        <w:pStyle w:val="NoSpacing"/>
        <w:rPr>
          <w:rFonts w:ascii="Times New Roman" w:hAnsi="Times New Roman" w:cs="Times New Roman"/>
          <w:b/>
          <w:i/>
          <w:sz w:val="24"/>
          <w:szCs w:val="24"/>
          <w:shd w:val="clear" w:color="auto" w:fill="FFFFFF"/>
        </w:rPr>
      </w:pPr>
      <w:r w:rsidRPr="00EA0555">
        <w:rPr>
          <w:rFonts w:ascii="Times New Roman" w:hAnsi="Times New Roman" w:cs="Times New Roman"/>
          <w:b/>
          <w:i/>
          <w:sz w:val="24"/>
          <w:szCs w:val="24"/>
          <w:shd w:val="clear" w:color="auto" w:fill="FFFFFF"/>
        </w:rPr>
        <w:t>ACTION REQUESTED</w:t>
      </w:r>
      <w:r>
        <w:rPr>
          <w:rFonts w:ascii="Times New Roman" w:hAnsi="Times New Roman" w:cs="Times New Roman"/>
          <w:b/>
          <w:i/>
          <w:sz w:val="24"/>
          <w:szCs w:val="24"/>
          <w:shd w:val="clear" w:color="auto" w:fill="FFFFFF"/>
        </w:rPr>
        <w:t>:</w:t>
      </w:r>
    </w:p>
    <w:p w14:paraId="54D5B719" w14:textId="77777777" w:rsidR="001F7D16" w:rsidRDefault="001F7D16" w:rsidP="001F7D16">
      <w:pPr>
        <w:pStyle w:val="NoSpacing"/>
        <w:ind w:left="360"/>
        <w:rPr>
          <w:rFonts w:ascii="Times New Roman" w:hAnsi="Times New Roman" w:cs="Times New Roman"/>
          <w:b/>
          <w:sz w:val="24"/>
          <w:szCs w:val="24"/>
          <w:shd w:val="clear" w:color="auto" w:fill="FFFFFF"/>
        </w:rPr>
      </w:pPr>
    </w:p>
    <w:p w14:paraId="25DE12F3" w14:textId="77777777" w:rsidR="001F7D16" w:rsidRPr="005A7E57" w:rsidRDefault="001F7D16" w:rsidP="001F7D16">
      <w:pPr>
        <w:pStyle w:val="NoSpacing"/>
        <w:rPr>
          <w:rFonts w:ascii="Times New Roman" w:hAnsi="Times New Roman" w:cs="Times New Roman"/>
          <w:b/>
          <w:sz w:val="24"/>
          <w:szCs w:val="24"/>
          <w:shd w:val="clear" w:color="auto" w:fill="FFFFFF"/>
        </w:rPr>
      </w:pPr>
      <w:r w:rsidRPr="005A7E57">
        <w:rPr>
          <w:rFonts w:ascii="Times New Roman" w:hAnsi="Times New Roman" w:cs="Times New Roman"/>
          <w:b/>
          <w:sz w:val="24"/>
          <w:szCs w:val="24"/>
          <w:shd w:val="clear" w:color="auto" w:fill="FFFFFF"/>
        </w:rPr>
        <w:t>The Congressional Appropriations Committee should retain the rider that prohibits FDA from reviewing clinical applications for “research in which a human embryo is intentionally created or modified to include a heritable genetic modification.”  Congress should not permit any exceptions for MRT or “therapeutic” applications of genome editing on human embryos.</w:t>
      </w:r>
    </w:p>
    <w:p w14:paraId="181A0465" w14:textId="77777777" w:rsidR="00701582" w:rsidRPr="00E64372" w:rsidRDefault="00701582" w:rsidP="00F5169D">
      <w:pPr>
        <w:pStyle w:val="NoSpacing"/>
        <w:rPr>
          <w:rFonts w:ascii="Times New Roman" w:hAnsi="Times New Roman" w:cs="Times New Roman"/>
          <w:sz w:val="24"/>
          <w:szCs w:val="24"/>
          <w:shd w:val="clear" w:color="auto" w:fill="FFFFFF"/>
        </w:rPr>
      </w:pPr>
    </w:p>
    <w:p w14:paraId="56076BE5" w14:textId="5A1E12AC" w:rsidR="00015C60" w:rsidRDefault="00015C60" w:rsidP="00F5169D">
      <w:pPr>
        <w:pStyle w:val="NoSpacing"/>
        <w:rPr>
          <w:rFonts w:ascii="Times New Roman" w:hAnsi="Times New Roman" w:cs="Times New Roman"/>
          <w:b/>
          <w:sz w:val="24"/>
          <w:szCs w:val="24"/>
        </w:rPr>
      </w:pPr>
    </w:p>
    <w:p w14:paraId="2ABC0213" w14:textId="0D5FACAE" w:rsidR="00F253C7" w:rsidRPr="001F7D16" w:rsidRDefault="00F253C7" w:rsidP="001F7D16">
      <w:pPr>
        <w:pStyle w:val="ListParagraph"/>
        <w:numPr>
          <w:ilvl w:val="0"/>
          <w:numId w:val="32"/>
        </w:numPr>
        <w:rPr>
          <w:rFonts w:ascii="Arial" w:hAnsi="Arial" w:cs="Arial"/>
          <w:b/>
          <w:color w:val="202A43"/>
        </w:rPr>
      </w:pPr>
      <w:r w:rsidRPr="001F7D16">
        <w:rPr>
          <w:b/>
        </w:rPr>
        <w:t>Removing or altering Sec. 733 to exempt Mitochondrial Replacement Therapy would in effect permit human genome modification technologies to move forward into clinical application.  This constitutes a substantial policy modification that should not be undertaken without full and transparent public debate before U.S. Congress.</w:t>
      </w:r>
    </w:p>
    <w:p w14:paraId="3BD4D189" w14:textId="77777777" w:rsidR="0031294D" w:rsidRDefault="0031294D" w:rsidP="0031294D">
      <w:pPr>
        <w:pStyle w:val="NoSpacing"/>
        <w:ind w:left="360"/>
        <w:rPr>
          <w:rFonts w:ascii="Times New Roman" w:hAnsi="Times New Roman" w:cs="Times New Roman"/>
          <w:b/>
          <w:sz w:val="24"/>
          <w:szCs w:val="24"/>
        </w:rPr>
      </w:pPr>
    </w:p>
    <w:p w14:paraId="23AB9FB1" w14:textId="24DC8B32" w:rsidR="0031294D" w:rsidRPr="0031294D" w:rsidRDefault="0031294D" w:rsidP="00701582">
      <w:pPr>
        <w:pStyle w:val="NoSpacing"/>
        <w:numPr>
          <w:ilvl w:val="0"/>
          <w:numId w:val="32"/>
        </w:numPr>
        <w:rPr>
          <w:rFonts w:ascii="Times New Roman" w:hAnsi="Times New Roman" w:cs="Times New Roman"/>
          <w:b/>
          <w:sz w:val="24"/>
          <w:szCs w:val="24"/>
        </w:rPr>
      </w:pPr>
      <w:r w:rsidRPr="0031294D">
        <w:rPr>
          <w:rFonts w:ascii="Times New Roman" w:hAnsi="Times New Roman" w:cs="Times New Roman"/>
          <w:b/>
          <w:sz w:val="24"/>
          <w:szCs w:val="24"/>
        </w:rPr>
        <w:t>Strong policymaking requires accuracy, transparency, and honest deliberation of available evidence.  Public discussions should include the limitations of experimental technology, alternatives, and risks.</w:t>
      </w:r>
    </w:p>
    <w:p w14:paraId="0B9CA6BA" w14:textId="77777777" w:rsidR="0031294D" w:rsidRDefault="0031294D" w:rsidP="0031294D">
      <w:pPr>
        <w:pStyle w:val="NoSpacing"/>
        <w:rPr>
          <w:rFonts w:ascii="Times New Roman" w:hAnsi="Times New Roman" w:cs="Times New Roman"/>
          <w:b/>
          <w:sz w:val="24"/>
          <w:szCs w:val="24"/>
        </w:rPr>
      </w:pPr>
    </w:p>
    <w:p w14:paraId="5867534B" w14:textId="77777777" w:rsidR="0002595D" w:rsidRDefault="0002595D" w:rsidP="0002595D">
      <w:pPr>
        <w:pStyle w:val="NoSpacing"/>
        <w:rPr>
          <w:rFonts w:ascii="Times New Roman" w:hAnsi="Times New Roman" w:cs="Times New Roman"/>
          <w:b/>
          <w:sz w:val="24"/>
          <w:szCs w:val="24"/>
        </w:rPr>
      </w:pPr>
    </w:p>
    <w:p w14:paraId="5AB4C180" w14:textId="77777777" w:rsidR="006D5339" w:rsidRDefault="0002595D" w:rsidP="00701582">
      <w:pPr>
        <w:pStyle w:val="NoSpacing"/>
        <w:numPr>
          <w:ilvl w:val="0"/>
          <w:numId w:val="32"/>
        </w:numPr>
        <w:rPr>
          <w:rFonts w:ascii="Times New Roman" w:hAnsi="Times New Roman" w:cs="Times New Roman"/>
          <w:b/>
          <w:sz w:val="24"/>
          <w:szCs w:val="24"/>
        </w:rPr>
      </w:pPr>
      <w:r>
        <w:rPr>
          <w:rFonts w:ascii="Times New Roman" w:hAnsi="Times New Roman" w:cs="Times New Roman"/>
          <w:b/>
          <w:sz w:val="24"/>
          <w:szCs w:val="24"/>
        </w:rPr>
        <w:t xml:space="preserve">Scientists have already conducted experiments </w:t>
      </w:r>
      <w:r w:rsidR="006D5339">
        <w:rPr>
          <w:rFonts w:ascii="Times New Roman" w:hAnsi="Times New Roman" w:cs="Times New Roman"/>
          <w:b/>
          <w:sz w:val="24"/>
          <w:szCs w:val="24"/>
        </w:rPr>
        <w:t>to</w:t>
      </w:r>
      <w:r>
        <w:rPr>
          <w:rFonts w:ascii="Times New Roman" w:hAnsi="Times New Roman" w:cs="Times New Roman"/>
          <w:b/>
          <w:sz w:val="24"/>
          <w:szCs w:val="24"/>
        </w:rPr>
        <w:t xml:space="preserve"> create infants through Mitochondrial Replacement Therapy and Human Genome Editing.  There is no </w:t>
      </w:r>
      <w:r w:rsidR="00611132">
        <w:rPr>
          <w:rFonts w:ascii="Times New Roman" w:hAnsi="Times New Roman" w:cs="Times New Roman"/>
          <w:b/>
          <w:sz w:val="24"/>
          <w:szCs w:val="24"/>
        </w:rPr>
        <w:t xml:space="preserve">independent </w:t>
      </w:r>
      <w:r>
        <w:rPr>
          <w:rFonts w:ascii="Times New Roman" w:hAnsi="Times New Roman" w:cs="Times New Roman"/>
          <w:b/>
          <w:sz w:val="24"/>
          <w:szCs w:val="24"/>
        </w:rPr>
        <w:t>evidence sh</w:t>
      </w:r>
      <w:r w:rsidR="00611132">
        <w:rPr>
          <w:rFonts w:ascii="Times New Roman" w:hAnsi="Times New Roman" w:cs="Times New Roman"/>
          <w:b/>
          <w:sz w:val="24"/>
          <w:szCs w:val="24"/>
        </w:rPr>
        <w:t>owing these infants are healthy;</w:t>
      </w:r>
      <w:r>
        <w:rPr>
          <w:rFonts w:ascii="Times New Roman" w:hAnsi="Times New Roman" w:cs="Times New Roman"/>
          <w:b/>
          <w:sz w:val="24"/>
          <w:szCs w:val="24"/>
        </w:rPr>
        <w:t xml:space="preserve"> and evidence in fact demonstrates the procedure of genome editing embryos to create infants in China did not work as intended. </w:t>
      </w:r>
    </w:p>
    <w:p w14:paraId="09EB23AD" w14:textId="2826270C" w:rsidR="0002595D" w:rsidRDefault="0002595D" w:rsidP="006D5339">
      <w:pPr>
        <w:pStyle w:val="NoSpacing"/>
        <w:ind w:left="360"/>
        <w:rPr>
          <w:rFonts w:ascii="Times New Roman" w:hAnsi="Times New Roman" w:cs="Times New Roman"/>
          <w:b/>
          <w:sz w:val="24"/>
          <w:szCs w:val="24"/>
        </w:rPr>
      </w:pPr>
      <w:r>
        <w:rPr>
          <w:rFonts w:ascii="Times New Roman" w:hAnsi="Times New Roman" w:cs="Times New Roman"/>
          <w:b/>
          <w:sz w:val="24"/>
          <w:szCs w:val="24"/>
        </w:rPr>
        <w:t xml:space="preserve"> </w:t>
      </w:r>
    </w:p>
    <w:p w14:paraId="4F8A4A8F" w14:textId="7811B849" w:rsidR="0002595D" w:rsidRPr="00611132" w:rsidRDefault="0002595D" w:rsidP="00701582">
      <w:pPr>
        <w:pStyle w:val="NoSpacing"/>
        <w:numPr>
          <w:ilvl w:val="1"/>
          <w:numId w:val="32"/>
        </w:numPr>
        <w:rPr>
          <w:rFonts w:ascii="Times New Roman" w:hAnsi="Times New Roman" w:cs="Times New Roman"/>
          <w:sz w:val="24"/>
          <w:szCs w:val="24"/>
        </w:rPr>
      </w:pPr>
      <w:r w:rsidRPr="00611132">
        <w:rPr>
          <w:rFonts w:ascii="Times New Roman" w:hAnsi="Times New Roman" w:cs="Times New Roman"/>
          <w:sz w:val="24"/>
          <w:szCs w:val="24"/>
        </w:rPr>
        <w:t>In 2016, Dr. John Zhang (U.S.) used Mitochondrial Replacement Therapy</w:t>
      </w:r>
      <w:r w:rsidR="006D5339">
        <w:rPr>
          <w:rFonts w:ascii="Times New Roman" w:hAnsi="Times New Roman" w:cs="Times New Roman"/>
          <w:sz w:val="24"/>
          <w:szCs w:val="24"/>
        </w:rPr>
        <w:t xml:space="preserve"> (MRT)</w:t>
      </w:r>
      <w:r w:rsidRPr="00611132">
        <w:rPr>
          <w:rFonts w:ascii="Times New Roman" w:hAnsi="Times New Roman" w:cs="Times New Roman"/>
          <w:sz w:val="24"/>
          <w:szCs w:val="24"/>
        </w:rPr>
        <w:t xml:space="preserve"> to create an infant, who he declared is healthy but there has been no independent follow up.</w:t>
      </w:r>
    </w:p>
    <w:p w14:paraId="39B17057" w14:textId="62AF5530" w:rsidR="00611132" w:rsidRDefault="0002595D" w:rsidP="00701582">
      <w:pPr>
        <w:pStyle w:val="NoSpacing"/>
        <w:numPr>
          <w:ilvl w:val="1"/>
          <w:numId w:val="32"/>
        </w:numPr>
        <w:rPr>
          <w:rFonts w:ascii="Times New Roman" w:hAnsi="Times New Roman" w:cs="Times New Roman"/>
          <w:sz w:val="24"/>
          <w:szCs w:val="24"/>
        </w:rPr>
      </w:pPr>
      <w:r w:rsidRPr="00611132">
        <w:rPr>
          <w:rFonts w:ascii="Times New Roman" w:hAnsi="Times New Roman" w:cs="Times New Roman"/>
          <w:sz w:val="24"/>
          <w:szCs w:val="24"/>
        </w:rPr>
        <w:t xml:space="preserve">In 2018, Dr. He </w:t>
      </w:r>
      <w:proofErr w:type="spellStart"/>
      <w:r w:rsidRPr="00611132">
        <w:rPr>
          <w:rFonts w:ascii="Times New Roman" w:hAnsi="Times New Roman" w:cs="Times New Roman"/>
          <w:sz w:val="24"/>
          <w:szCs w:val="24"/>
        </w:rPr>
        <w:t>Jiankui</w:t>
      </w:r>
      <w:proofErr w:type="spellEnd"/>
      <w:r w:rsidRPr="00611132">
        <w:rPr>
          <w:rFonts w:ascii="Times New Roman" w:hAnsi="Times New Roman" w:cs="Times New Roman"/>
          <w:sz w:val="24"/>
          <w:szCs w:val="24"/>
        </w:rPr>
        <w:t xml:space="preserve"> </w:t>
      </w:r>
      <w:r w:rsidR="00611132">
        <w:rPr>
          <w:rFonts w:ascii="Times New Roman" w:hAnsi="Times New Roman" w:cs="Times New Roman"/>
          <w:sz w:val="24"/>
          <w:szCs w:val="24"/>
        </w:rPr>
        <w:t xml:space="preserve">(China) </w:t>
      </w:r>
      <w:r w:rsidRPr="00611132">
        <w:rPr>
          <w:rFonts w:ascii="Times New Roman" w:hAnsi="Times New Roman" w:cs="Times New Roman"/>
          <w:sz w:val="24"/>
          <w:szCs w:val="24"/>
        </w:rPr>
        <w:t xml:space="preserve">used genome editing to modify the CCR5 </w:t>
      </w:r>
      <w:r w:rsidR="00F87CA6">
        <w:rPr>
          <w:rFonts w:ascii="Times New Roman" w:hAnsi="Times New Roman" w:cs="Times New Roman"/>
          <w:sz w:val="24"/>
          <w:szCs w:val="24"/>
        </w:rPr>
        <w:t>gene aiming to</w:t>
      </w:r>
      <w:r w:rsidRPr="00611132">
        <w:rPr>
          <w:rFonts w:ascii="Times New Roman" w:hAnsi="Times New Roman" w:cs="Times New Roman"/>
          <w:sz w:val="24"/>
          <w:szCs w:val="24"/>
        </w:rPr>
        <w:t xml:space="preserve"> reduce risk of HIV infection.  This experiment produced two twin girls.  Multiple reports suggest He’s experiment did not produce the intended modification:</w:t>
      </w:r>
      <w:r w:rsidR="00611132">
        <w:rPr>
          <w:rStyle w:val="EndnoteReference"/>
          <w:rFonts w:ascii="Times New Roman" w:hAnsi="Times New Roman" w:cs="Times New Roman"/>
          <w:sz w:val="24"/>
          <w:szCs w:val="24"/>
        </w:rPr>
        <w:endnoteReference w:id="17"/>
      </w:r>
      <w:r w:rsidRPr="00611132">
        <w:rPr>
          <w:rFonts w:ascii="Times New Roman" w:hAnsi="Times New Roman" w:cs="Times New Roman"/>
          <w:sz w:val="24"/>
          <w:szCs w:val="24"/>
        </w:rPr>
        <w:t xml:space="preserve"> the infants have a new</w:t>
      </w:r>
      <w:r w:rsidR="00F87CA6">
        <w:rPr>
          <w:rFonts w:ascii="Times New Roman" w:hAnsi="Times New Roman" w:cs="Times New Roman"/>
          <w:sz w:val="24"/>
          <w:szCs w:val="24"/>
        </w:rPr>
        <w:t>, unknown</w:t>
      </w:r>
      <w:r w:rsidRPr="00611132">
        <w:rPr>
          <w:rFonts w:ascii="Times New Roman" w:hAnsi="Times New Roman" w:cs="Times New Roman"/>
          <w:sz w:val="24"/>
          <w:szCs w:val="24"/>
        </w:rPr>
        <w:t xml:space="preserve"> mutation, which creates uncertain </w:t>
      </w:r>
      <w:r w:rsidRPr="00611132">
        <w:rPr>
          <w:rFonts w:ascii="Times New Roman" w:hAnsi="Times New Roman" w:cs="Times New Roman"/>
          <w:sz w:val="24"/>
          <w:szCs w:val="24"/>
        </w:rPr>
        <w:lastRenderedPageBreak/>
        <w:t xml:space="preserve">health risks.  </w:t>
      </w:r>
      <w:r w:rsidR="000B59EC" w:rsidRPr="00611132">
        <w:rPr>
          <w:rFonts w:ascii="Times New Roman" w:hAnsi="Times New Roman" w:cs="Times New Roman"/>
          <w:sz w:val="24"/>
          <w:szCs w:val="24"/>
        </w:rPr>
        <w:t xml:space="preserve">A recent article in Nature Medicine suggests inducing this mutation may </w:t>
      </w:r>
      <w:r w:rsidR="000B59EC" w:rsidRPr="006D5339">
        <w:rPr>
          <w:rFonts w:ascii="Times New Roman" w:hAnsi="Times New Roman" w:cs="Times New Roman"/>
          <w:i/>
          <w:sz w:val="24"/>
          <w:szCs w:val="24"/>
        </w:rPr>
        <w:t>increase risk</w:t>
      </w:r>
      <w:r w:rsidR="000B59EC" w:rsidRPr="00611132">
        <w:rPr>
          <w:rFonts w:ascii="Times New Roman" w:hAnsi="Times New Roman" w:cs="Times New Roman"/>
          <w:sz w:val="24"/>
          <w:szCs w:val="24"/>
        </w:rPr>
        <w:t xml:space="preserve"> of mortality.</w:t>
      </w:r>
      <w:r w:rsidR="000B59EC" w:rsidRPr="00611132">
        <w:rPr>
          <w:rStyle w:val="EndnoteReference"/>
          <w:rFonts w:ascii="Times New Roman" w:hAnsi="Times New Roman" w:cs="Times New Roman"/>
          <w:sz w:val="24"/>
          <w:szCs w:val="24"/>
        </w:rPr>
        <w:endnoteReference w:id="18"/>
      </w:r>
    </w:p>
    <w:p w14:paraId="69D0C350" w14:textId="501A92BE" w:rsidR="00611132" w:rsidRDefault="00611132" w:rsidP="00611132">
      <w:pPr>
        <w:pStyle w:val="NoSpacing"/>
        <w:ind w:left="1080"/>
        <w:rPr>
          <w:rFonts w:ascii="Times New Roman" w:hAnsi="Times New Roman" w:cs="Times New Roman"/>
          <w:sz w:val="24"/>
          <w:szCs w:val="24"/>
        </w:rPr>
      </w:pPr>
    </w:p>
    <w:p w14:paraId="267C70B8" w14:textId="77777777" w:rsidR="006D5339" w:rsidRDefault="006D5339" w:rsidP="00611132">
      <w:pPr>
        <w:pStyle w:val="NoSpacing"/>
        <w:ind w:left="1080"/>
        <w:rPr>
          <w:rFonts w:ascii="Times New Roman" w:hAnsi="Times New Roman" w:cs="Times New Roman"/>
          <w:sz w:val="24"/>
          <w:szCs w:val="24"/>
        </w:rPr>
      </w:pPr>
    </w:p>
    <w:p w14:paraId="2356C99B" w14:textId="603A1B13" w:rsidR="00611132" w:rsidRDefault="00611132" w:rsidP="00701582">
      <w:pPr>
        <w:pStyle w:val="NoSpacing"/>
        <w:numPr>
          <w:ilvl w:val="0"/>
          <w:numId w:val="32"/>
        </w:numPr>
        <w:rPr>
          <w:rFonts w:ascii="Times New Roman" w:hAnsi="Times New Roman" w:cs="Times New Roman"/>
          <w:sz w:val="24"/>
          <w:szCs w:val="24"/>
        </w:rPr>
      </w:pPr>
      <w:r w:rsidRPr="00611132">
        <w:rPr>
          <w:rFonts w:ascii="Times New Roman" w:hAnsi="Times New Roman" w:cs="Times New Roman"/>
          <w:b/>
          <w:sz w:val="24"/>
          <w:szCs w:val="24"/>
        </w:rPr>
        <w:t xml:space="preserve">Unlike other potential clinical trials where the FDA determines calculations of safety and efficacy for the intended patient, the research subject – a future child </w:t>
      </w:r>
      <w:proofErr w:type="gramStart"/>
      <w:r w:rsidRPr="00611132">
        <w:rPr>
          <w:rFonts w:ascii="Times New Roman" w:hAnsi="Times New Roman" w:cs="Times New Roman"/>
          <w:b/>
          <w:sz w:val="24"/>
          <w:szCs w:val="24"/>
        </w:rPr>
        <w:t>–  would</w:t>
      </w:r>
      <w:proofErr w:type="gramEnd"/>
      <w:r w:rsidRPr="00611132">
        <w:rPr>
          <w:rFonts w:ascii="Times New Roman" w:hAnsi="Times New Roman" w:cs="Times New Roman"/>
          <w:b/>
          <w:sz w:val="24"/>
          <w:szCs w:val="24"/>
        </w:rPr>
        <w:t xml:space="preserve"> be </w:t>
      </w:r>
      <w:r w:rsidRPr="00611132">
        <w:rPr>
          <w:rFonts w:ascii="Times New Roman" w:hAnsi="Times New Roman" w:cs="Times New Roman"/>
          <w:b/>
          <w:i/>
          <w:sz w:val="24"/>
          <w:szCs w:val="24"/>
        </w:rPr>
        <w:t>created</w:t>
      </w:r>
      <w:r w:rsidRPr="00611132">
        <w:rPr>
          <w:rFonts w:ascii="Times New Roman" w:hAnsi="Times New Roman" w:cs="Times New Roman"/>
          <w:b/>
          <w:sz w:val="24"/>
          <w:szCs w:val="24"/>
        </w:rPr>
        <w:t xml:space="preserve"> using the proposed methodology</w:t>
      </w:r>
      <w:r>
        <w:rPr>
          <w:rFonts w:ascii="Times New Roman" w:hAnsi="Times New Roman" w:cs="Times New Roman"/>
          <w:sz w:val="24"/>
          <w:szCs w:val="24"/>
        </w:rPr>
        <w:t>.</w:t>
      </w:r>
      <w:r w:rsidR="00C93B0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961B26E" w14:textId="77777777" w:rsidR="006D5339" w:rsidRDefault="006D5339" w:rsidP="006D5339">
      <w:pPr>
        <w:pStyle w:val="NoSpacing"/>
        <w:ind w:left="360"/>
        <w:rPr>
          <w:rFonts w:ascii="Times New Roman" w:hAnsi="Times New Roman" w:cs="Times New Roman"/>
          <w:sz w:val="24"/>
          <w:szCs w:val="24"/>
        </w:rPr>
      </w:pPr>
    </w:p>
    <w:p w14:paraId="03DDEE0B" w14:textId="08D470BA" w:rsidR="00611132" w:rsidRPr="0061224D" w:rsidRDefault="00455B8A" w:rsidP="00701582">
      <w:pPr>
        <w:pStyle w:val="ListParagraph"/>
        <w:numPr>
          <w:ilvl w:val="1"/>
          <w:numId w:val="32"/>
        </w:numPr>
        <w:rPr>
          <w:rFonts w:eastAsiaTheme="minorHAnsi"/>
        </w:rPr>
      </w:pPr>
      <w:r>
        <w:t xml:space="preserve">Mistakes in the process when </w:t>
      </w:r>
      <w:r w:rsidR="00611132" w:rsidRPr="00611132">
        <w:t xml:space="preserve">MRT and Human Genome </w:t>
      </w:r>
      <w:r w:rsidRPr="00611132">
        <w:t>Modifications</w:t>
      </w:r>
      <w:r w:rsidRPr="00455B8A">
        <w:t xml:space="preserve"> </w:t>
      </w:r>
      <w:r>
        <w:t xml:space="preserve">do not work as expected </w:t>
      </w:r>
      <w:r w:rsidRPr="00455B8A">
        <w:rPr>
          <w:rFonts w:eastAsiaTheme="minorHAnsi"/>
        </w:rPr>
        <w:t>are bo</w:t>
      </w:r>
      <w:r w:rsidR="0061224D">
        <w:rPr>
          <w:rFonts w:eastAsiaTheme="minorHAnsi"/>
        </w:rPr>
        <w:t xml:space="preserve">th inevitable and irreversible, </w:t>
      </w:r>
      <w:r w:rsidRPr="00455B8A">
        <w:rPr>
          <w:rFonts w:eastAsiaTheme="minorHAnsi"/>
        </w:rPr>
        <w:t xml:space="preserve">which means </w:t>
      </w:r>
      <w:r w:rsidR="0061224D">
        <w:rPr>
          <w:rFonts w:eastAsiaTheme="minorHAnsi"/>
        </w:rPr>
        <w:t>these procedures</w:t>
      </w:r>
      <w:r w:rsidRPr="00455B8A">
        <w:rPr>
          <w:rFonts w:eastAsiaTheme="minorHAnsi"/>
        </w:rPr>
        <w:t xml:space="preserve"> could potentially not only create a congenitally impaired </w:t>
      </w:r>
      <w:proofErr w:type="gramStart"/>
      <w:r w:rsidRPr="00455B8A">
        <w:rPr>
          <w:rFonts w:eastAsiaTheme="minorHAnsi"/>
        </w:rPr>
        <w:t>child, but</w:t>
      </w:r>
      <w:proofErr w:type="gramEnd"/>
      <w:r w:rsidRPr="00455B8A">
        <w:rPr>
          <w:rFonts w:eastAsiaTheme="minorHAnsi"/>
        </w:rPr>
        <w:t xml:space="preserve"> introduce those deficits into the germline of all subsequent offspring.   </w:t>
      </w:r>
    </w:p>
    <w:p w14:paraId="64FC333E" w14:textId="77777777" w:rsidR="00F87CA6" w:rsidRDefault="00611132" w:rsidP="00701582">
      <w:pPr>
        <w:pStyle w:val="NoSpacing"/>
        <w:numPr>
          <w:ilvl w:val="1"/>
          <w:numId w:val="32"/>
        </w:numPr>
        <w:rPr>
          <w:rFonts w:ascii="Times New Roman" w:hAnsi="Times New Roman" w:cs="Times New Roman"/>
          <w:sz w:val="24"/>
          <w:szCs w:val="24"/>
        </w:rPr>
      </w:pPr>
      <w:r w:rsidRPr="00611132">
        <w:rPr>
          <w:rFonts w:ascii="Times New Roman" w:hAnsi="Times New Roman" w:cs="Times New Roman"/>
          <w:sz w:val="24"/>
          <w:szCs w:val="24"/>
        </w:rPr>
        <w:t>It is unethical to proceed with experiments knowing th</w:t>
      </w:r>
      <w:r w:rsidR="0061224D">
        <w:rPr>
          <w:rFonts w:ascii="Times New Roman" w:hAnsi="Times New Roman" w:cs="Times New Roman"/>
          <w:sz w:val="24"/>
          <w:szCs w:val="24"/>
        </w:rPr>
        <w:t>e risk of potential “mistakes</w:t>
      </w:r>
      <w:r w:rsidR="00F87CA6">
        <w:rPr>
          <w:rFonts w:ascii="Times New Roman" w:hAnsi="Times New Roman" w:cs="Times New Roman"/>
          <w:sz w:val="24"/>
          <w:szCs w:val="24"/>
        </w:rPr>
        <w:t>.</w:t>
      </w:r>
      <w:r w:rsidR="0061224D">
        <w:rPr>
          <w:rFonts w:ascii="Times New Roman" w:hAnsi="Times New Roman" w:cs="Times New Roman"/>
          <w:sz w:val="24"/>
          <w:szCs w:val="24"/>
        </w:rPr>
        <w:t>”</w:t>
      </w:r>
    </w:p>
    <w:p w14:paraId="22C58CAC" w14:textId="77777777" w:rsidR="00F87CA6" w:rsidRDefault="00F87CA6" w:rsidP="00701582">
      <w:pPr>
        <w:pStyle w:val="NoSpacing"/>
        <w:numPr>
          <w:ilvl w:val="1"/>
          <w:numId w:val="32"/>
        </w:numPr>
        <w:rPr>
          <w:rFonts w:ascii="Times New Roman" w:hAnsi="Times New Roman" w:cs="Times New Roman"/>
          <w:sz w:val="24"/>
          <w:szCs w:val="24"/>
        </w:rPr>
      </w:pPr>
      <w:r>
        <w:rPr>
          <w:rFonts w:ascii="Times New Roman" w:hAnsi="Times New Roman" w:cs="Times New Roman"/>
          <w:sz w:val="24"/>
          <w:szCs w:val="24"/>
        </w:rPr>
        <w:t>N</w:t>
      </w:r>
      <w:r w:rsidR="0061224D">
        <w:rPr>
          <w:rFonts w:ascii="Times New Roman" w:hAnsi="Times New Roman" w:cs="Times New Roman"/>
          <w:sz w:val="24"/>
          <w:szCs w:val="24"/>
        </w:rPr>
        <w:t>o person has the moral authority to purposefully alter the human germline or expose future children to such serious risks.</w:t>
      </w:r>
    </w:p>
    <w:p w14:paraId="4A008F65" w14:textId="77777777" w:rsidR="00F87CA6" w:rsidRDefault="00F87CA6" w:rsidP="00F87CA6">
      <w:pPr>
        <w:pStyle w:val="NoSpacing"/>
        <w:ind w:left="1080"/>
        <w:rPr>
          <w:rFonts w:ascii="Times New Roman" w:hAnsi="Times New Roman" w:cs="Times New Roman"/>
          <w:sz w:val="24"/>
          <w:szCs w:val="24"/>
        </w:rPr>
      </w:pPr>
    </w:p>
    <w:p w14:paraId="12CFF94D" w14:textId="7B63EF96" w:rsidR="00F87CA6" w:rsidRPr="00F87CA6" w:rsidRDefault="00F87CA6" w:rsidP="00701582">
      <w:pPr>
        <w:pStyle w:val="NoSpacing"/>
        <w:numPr>
          <w:ilvl w:val="0"/>
          <w:numId w:val="32"/>
        </w:numPr>
        <w:rPr>
          <w:rFonts w:ascii="Times New Roman" w:hAnsi="Times New Roman" w:cs="Times New Roman"/>
          <w:sz w:val="24"/>
          <w:szCs w:val="24"/>
        </w:rPr>
      </w:pPr>
      <w:r w:rsidRPr="00F87CA6">
        <w:rPr>
          <w:rFonts w:ascii="Times New Roman" w:hAnsi="Times New Roman" w:cs="Times New Roman"/>
          <w:b/>
          <w:sz w:val="24"/>
          <w:szCs w:val="24"/>
        </w:rPr>
        <w:t>In recognition of risks, ethical concerns, and principled objections,</w:t>
      </w:r>
      <w:r w:rsidRPr="00F87CA6">
        <w:rPr>
          <w:rFonts w:ascii="Times New Roman" w:hAnsi="Times New Roman" w:cs="Times New Roman"/>
          <w:sz w:val="24"/>
          <w:szCs w:val="24"/>
        </w:rPr>
        <w:t xml:space="preserve"> </w:t>
      </w:r>
      <w:r w:rsidRPr="00F87CA6">
        <w:rPr>
          <w:rFonts w:ascii="Times New Roman" w:hAnsi="Times New Roman" w:cs="Times New Roman"/>
          <w:b/>
          <w:sz w:val="24"/>
          <w:szCs w:val="24"/>
        </w:rPr>
        <w:t>modification of the human germline (whether by Mitochondrial Replacement Therapy or Human Genome Editing) has</w:t>
      </w:r>
      <w:r w:rsidRPr="00F87CA6">
        <w:rPr>
          <w:rFonts w:ascii="Times New Roman" w:hAnsi="Times New Roman" w:cs="Times New Roman"/>
          <w:sz w:val="24"/>
          <w:szCs w:val="24"/>
        </w:rPr>
        <w:t xml:space="preserve"> </w:t>
      </w:r>
      <w:r w:rsidRPr="00F87CA6">
        <w:rPr>
          <w:rFonts w:ascii="Times New Roman" w:hAnsi="Times New Roman" w:cs="Times New Roman"/>
          <w:b/>
          <w:sz w:val="24"/>
          <w:szCs w:val="24"/>
        </w:rPr>
        <w:t>prohibited by International Bioethics Committee of the United Nations, The Council of Europe’s Convention on Human Rights and Biomedicine, and the European Union’s 2001 directive on clinical trials</w:t>
      </w:r>
      <w:r w:rsidRPr="00F87CA6">
        <w:rPr>
          <w:rFonts w:ascii="Times New Roman" w:hAnsi="Times New Roman" w:cs="Times New Roman"/>
          <w:sz w:val="24"/>
          <w:szCs w:val="24"/>
        </w:rPr>
        <w:t>.</w:t>
      </w:r>
      <w:r w:rsidRPr="00F87CA6">
        <w:rPr>
          <w:rStyle w:val="EndnoteReference"/>
          <w:rFonts w:ascii="Times New Roman" w:hAnsi="Times New Roman" w:cs="Times New Roman"/>
          <w:sz w:val="24"/>
          <w:szCs w:val="24"/>
        </w:rPr>
        <w:t xml:space="preserve"> </w:t>
      </w:r>
      <w:r w:rsidRPr="00BC38B4">
        <w:rPr>
          <w:rStyle w:val="EndnoteReference"/>
          <w:rFonts w:ascii="Times New Roman" w:hAnsi="Times New Roman" w:cs="Times New Roman"/>
          <w:sz w:val="24"/>
          <w:szCs w:val="24"/>
        </w:rPr>
        <w:endnoteReference w:id="19"/>
      </w:r>
    </w:p>
    <w:p w14:paraId="65DE5B19" w14:textId="77777777" w:rsidR="00F87CA6" w:rsidRDefault="00F87CA6" w:rsidP="00F87CA6">
      <w:pPr>
        <w:pStyle w:val="NoSpacing"/>
        <w:ind w:left="360"/>
        <w:rPr>
          <w:rFonts w:ascii="Times New Roman" w:hAnsi="Times New Roman" w:cs="Times New Roman"/>
          <w:sz w:val="24"/>
          <w:szCs w:val="24"/>
        </w:rPr>
      </w:pPr>
    </w:p>
    <w:p w14:paraId="376744CC" w14:textId="77777777" w:rsidR="006D5339" w:rsidRDefault="006D5339" w:rsidP="006D5339">
      <w:pPr>
        <w:pStyle w:val="NoSpacing"/>
        <w:ind w:left="1080"/>
        <w:rPr>
          <w:rFonts w:ascii="Times New Roman" w:hAnsi="Times New Roman" w:cs="Times New Roman"/>
          <w:sz w:val="24"/>
          <w:szCs w:val="24"/>
        </w:rPr>
      </w:pPr>
    </w:p>
    <w:p w14:paraId="0A6FE514" w14:textId="63607CC3" w:rsidR="006D5339" w:rsidRDefault="00D57A7E" w:rsidP="00701582">
      <w:pPr>
        <w:pStyle w:val="NoSpacing"/>
        <w:numPr>
          <w:ilvl w:val="0"/>
          <w:numId w:val="32"/>
        </w:numPr>
        <w:rPr>
          <w:rFonts w:ascii="Times New Roman" w:hAnsi="Times New Roman" w:cs="Times New Roman"/>
          <w:sz w:val="24"/>
          <w:szCs w:val="24"/>
        </w:rPr>
      </w:pPr>
      <w:r w:rsidRPr="006D5339">
        <w:rPr>
          <w:rFonts w:ascii="Times New Roman" w:hAnsi="Times New Roman" w:cs="Times New Roman"/>
          <w:b/>
          <w:sz w:val="24"/>
          <w:szCs w:val="24"/>
        </w:rPr>
        <w:t xml:space="preserve">Public framing of </w:t>
      </w:r>
      <w:r w:rsidR="00F83656" w:rsidRPr="006D5339">
        <w:rPr>
          <w:rFonts w:ascii="Times New Roman" w:hAnsi="Times New Roman" w:cs="Times New Roman"/>
          <w:b/>
          <w:sz w:val="24"/>
          <w:szCs w:val="24"/>
        </w:rPr>
        <w:t>human germline modification technologies (</w:t>
      </w:r>
      <w:r w:rsidRPr="006D5339">
        <w:rPr>
          <w:rFonts w:ascii="Times New Roman" w:hAnsi="Times New Roman" w:cs="Times New Roman"/>
          <w:b/>
          <w:sz w:val="24"/>
          <w:szCs w:val="24"/>
        </w:rPr>
        <w:t>Mitochondrial</w:t>
      </w:r>
      <w:r w:rsidR="00D27299" w:rsidRPr="006D5339">
        <w:rPr>
          <w:rFonts w:ascii="Times New Roman" w:hAnsi="Times New Roman" w:cs="Times New Roman"/>
          <w:b/>
          <w:sz w:val="24"/>
          <w:szCs w:val="24"/>
        </w:rPr>
        <w:t xml:space="preserve"> Replacement Therapy</w:t>
      </w:r>
      <w:r w:rsidR="00F83656" w:rsidRPr="006D5339">
        <w:rPr>
          <w:rFonts w:ascii="Times New Roman" w:hAnsi="Times New Roman" w:cs="Times New Roman"/>
          <w:b/>
          <w:sz w:val="24"/>
          <w:szCs w:val="24"/>
        </w:rPr>
        <w:t xml:space="preserve"> and </w:t>
      </w:r>
      <w:r w:rsidR="00702777">
        <w:rPr>
          <w:rFonts w:ascii="Times New Roman" w:hAnsi="Times New Roman" w:cs="Times New Roman"/>
          <w:b/>
          <w:sz w:val="24"/>
          <w:szCs w:val="24"/>
        </w:rPr>
        <w:t xml:space="preserve">Human </w:t>
      </w:r>
      <w:r w:rsidR="00F83656" w:rsidRPr="006D5339">
        <w:rPr>
          <w:rFonts w:ascii="Times New Roman" w:hAnsi="Times New Roman" w:cs="Times New Roman"/>
          <w:b/>
          <w:sz w:val="24"/>
          <w:szCs w:val="24"/>
        </w:rPr>
        <w:t>Genome Editing)</w:t>
      </w:r>
      <w:r w:rsidR="00D27299" w:rsidRPr="006D5339">
        <w:rPr>
          <w:rFonts w:ascii="Times New Roman" w:hAnsi="Times New Roman" w:cs="Times New Roman"/>
          <w:b/>
          <w:sz w:val="24"/>
          <w:szCs w:val="24"/>
        </w:rPr>
        <w:t xml:space="preserve"> </w:t>
      </w:r>
      <w:r w:rsidR="00021226" w:rsidRPr="006D5339">
        <w:rPr>
          <w:rFonts w:ascii="Times New Roman" w:hAnsi="Times New Roman" w:cs="Times New Roman"/>
          <w:b/>
          <w:sz w:val="24"/>
          <w:szCs w:val="24"/>
        </w:rPr>
        <w:t xml:space="preserve">contains </w:t>
      </w:r>
      <w:r w:rsidR="00F83656" w:rsidRPr="006D5339">
        <w:rPr>
          <w:rFonts w:ascii="Times New Roman" w:hAnsi="Times New Roman" w:cs="Times New Roman"/>
          <w:b/>
          <w:sz w:val="24"/>
          <w:szCs w:val="24"/>
        </w:rPr>
        <w:t xml:space="preserve">misleading rhetoric </w:t>
      </w:r>
      <w:r w:rsidR="00263FAC" w:rsidRPr="006D5339">
        <w:rPr>
          <w:rFonts w:ascii="Times New Roman" w:hAnsi="Times New Roman" w:cs="Times New Roman"/>
          <w:b/>
          <w:sz w:val="24"/>
          <w:szCs w:val="24"/>
        </w:rPr>
        <w:t>designed to engineer acceptance</w:t>
      </w:r>
      <w:r w:rsidR="00D27299" w:rsidRPr="006D5339">
        <w:rPr>
          <w:rFonts w:ascii="Times New Roman" w:hAnsi="Times New Roman" w:cs="Times New Roman"/>
          <w:b/>
          <w:sz w:val="24"/>
          <w:szCs w:val="24"/>
        </w:rPr>
        <w:t>.</w:t>
      </w:r>
      <w:r w:rsidR="006D5339">
        <w:rPr>
          <w:rFonts w:ascii="Times New Roman" w:hAnsi="Times New Roman" w:cs="Times New Roman"/>
          <w:b/>
          <w:sz w:val="24"/>
          <w:szCs w:val="24"/>
        </w:rPr>
        <w:t xml:space="preserve">  These procedures are</w:t>
      </w:r>
      <w:r w:rsidR="006D5339" w:rsidRPr="006D4631">
        <w:rPr>
          <w:rFonts w:ascii="Times New Roman" w:hAnsi="Times New Roman" w:cs="Times New Roman"/>
          <w:b/>
          <w:sz w:val="24"/>
          <w:szCs w:val="24"/>
        </w:rPr>
        <w:t xml:space="preserve"> not curative,</w:t>
      </w:r>
      <w:r w:rsidR="006D5339">
        <w:rPr>
          <w:rFonts w:ascii="Times New Roman" w:hAnsi="Times New Roman" w:cs="Times New Roman"/>
          <w:b/>
          <w:sz w:val="24"/>
          <w:szCs w:val="24"/>
        </w:rPr>
        <w:t xml:space="preserve"> but</w:t>
      </w:r>
      <w:r w:rsidR="006D5339" w:rsidRPr="006D4631">
        <w:rPr>
          <w:rFonts w:ascii="Times New Roman" w:hAnsi="Times New Roman" w:cs="Times New Roman"/>
          <w:b/>
          <w:sz w:val="24"/>
          <w:szCs w:val="24"/>
        </w:rPr>
        <w:t xml:space="preserve"> rather highly experimental with significant risks</w:t>
      </w:r>
      <w:r w:rsidR="006D5339">
        <w:rPr>
          <w:rFonts w:ascii="Times New Roman" w:hAnsi="Times New Roman" w:cs="Times New Roman"/>
          <w:b/>
          <w:sz w:val="24"/>
          <w:szCs w:val="24"/>
        </w:rPr>
        <w:t>.</w:t>
      </w:r>
      <w:r w:rsidR="006D5339">
        <w:rPr>
          <w:rFonts w:ascii="Times New Roman" w:hAnsi="Times New Roman" w:cs="Times New Roman"/>
          <w:sz w:val="24"/>
          <w:szCs w:val="24"/>
        </w:rPr>
        <w:t xml:space="preserve">  </w:t>
      </w:r>
      <w:r w:rsidR="00B14DA6" w:rsidRPr="006D5339">
        <w:rPr>
          <w:rFonts w:ascii="Times New Roman" w:hAnsi="Times New Roman" w:cs="Times New Roman"/>
          <w:b/>
          <w:sz w:val="24"/>
          <w:szCs w:val="24"/>
        </w:rPr>
        <w:t xml:space="preserve">Using </w:t>
      </w:r>
      <w:r w:rsidR="00021226" w:rsidRPr="006D5339">
        <w:rPr>
          <w:rFonts w:ascii="Times New Roman" w:hAnsi="Times New Roman" w:cs="Times New Roman"/>
          <w:b/>
          <w:sz w:val="24"/>
          <w:szCs w:val="24"/>
        </w:rPr>
        <w:t xml:space="preserve">misleading descriptions undermines </w:t>
      </w:r>
      <w:r w:rsidR="007226CF" w:rsidRPr="006D5339">
        <w:rPr>
          <w:rFonts w:ascii="Times New Roman" w:hAnsi="Times New Roman" w:cs="Times New Roman"/>
          <w:b/>
          <w:sz w:val="24"/>
          <w:szCs w:val="24"/>
        </w:rPr>
        <w:t xml:space="preserve">the authenticity </w:t>
      </w:r>
      <w:r w:rsidR="00015C60" w:rsidRPr="006D5339">
        <w:rPr>
          <w:rFonts w:ascii="Times New Roman" w:hAnsi="Times New Roman" w:cs="Times New Roman"/>
          <w:b/>
          <w:sz w:val="24"/>
          <w:szCs w:val="24"/>
        </w:rPr>
        <w:t xml:space="preserve">and integrity </w:t>
      </w:r>
      <w:r w:rsidR="007226CF" w:rsidRPr="006D5339">
        <w:rPr>
          <w:rFonts w:ascii="Times New Roman" w:hAnsi="Times New Roman" w:cs="Times New Roman"/>
          <w:b/>
          <w:sz w:val="24"/>
          <w:szCs w:val="24"/>
        </w:rPr>
        <w:t>of the policymaking process.</w:t>
      </w:r>
    </w:p>
    <w:p w14:paraId="707EE214" w14:textId="77777777" w:rsidR="006D5339" w:rsidRDefault="006D5339" w:rsidP="006D5339">
      <w:pPr>
        <w:pStyle w:val="NoSpacing"/>
        <w:ind w:left="1080"/>
        <w:rPr>
          <w:rFonts w:ascii="Times New Roman" w:hAnsi="Times New Roman" w:cs="Times New Roman"/>
          <w:sz w:val="24"/>
          <w:szCs w:val="24"/>
        </w:rPr>
      </w:pPr>
    </w:p>
    <w:p w14:paraId="3A99A22A" w14:textId="77777777" w:rsidR="006D5339" w:rsidRDefault="00F83656" w:rsidP="00701582">
      <w:pPr>
        <w:pStyle w:val="NoSpacing"/>
        <w:numPr>
          <w:ilvl w:val="1"/>
          <w:numId w:val="32"/>
        </w:numPr>
        <w:rPr>
          <w:rFonts w:ascii="Times New Roman" w:hAnsi="Times New Roman" w:cs="Times New Roman"/>
          <w:sz w:val="24"/>
          <w:szCs w:val="24"/>
        </w:rPr>
      </w:pPr>
      <w:r w:rsidRPr="006D5339">
        <w:rPr>
          <w:rFonts w:ascii="Times New Roman" w:hAnsi="Times New Roman" w:cs="Times New Roman"/>
          <w:sz w:val="24"/>
          <w:szCs w:val="24"/>
          <w:u w:val="single"/>
        </w:rPr>
        <w:t>Misleading statements about Mitochondrial Replacement Therapy</w:t>
      </w:r>
    </w:p>
    <w:p w14:paraId="78F3EA05" w14:textId="77777777" w:rsidR="006D5339" w:rsidRDefault="00263FAC" w:rsidP="00701582">
      <w:pPr>
        <w:pStyle w:val="NoSpacing"/>
        <w:numPr>
          <w:ilvl w:val="2"/>
          <w:numId w:val="32"/>
        </w:numPr>
        <w:rPr>
          <w:rFonts w:ascii="Times New Roman" w:hAnsi="Times New Roman" w:cs="Times New Roman"/>
          <w:sz w:val="24"/>
          <w:szCs w:val="24"/>
        </w:rPr>
      </w:pPr>
      <w:r w:rsidRPr="006D5339">
        <w:rPr>
          <w:rFonts w:ascii="Times New Roman" w:hAnsi="Times New Roman" w:cs="Times New Roman"/>
          <w:sz w:val="24"/>
          <w:szCs w:val="24"/>
        </w:rPr>
        <w:t>M</w:t>
      </w:r>
      <w:r w:rsidR="00DB1F18" w:rsidRPr="006D5339">
        <w:rPr>
          <w:rFonts w:ascii="Times New Roman" w:hAnsi="Times New Roman" w:cs="Times New Roman"/>
          <w:sz w:val="24"/>
          <w:szCs w:val="24"/>
        </w:rPr>
        <w:t xml:space="preserve">edia </w:t>
      </w:r>
      <w:r w:rsidRPr="006D5339">
        <w:rPr>
          <w:rFonts w:ascii="Times New Roman" w:hAnsi="Times New Roman" w:cs="Times New Roman"/>
          <w:sz w:val="24"/>
          <w:szCs w:val="24"/>
        </w:rPr>
        <w:t>has</w:t>
      </w:r>
      <w:r w:rsidR="00DB1F18" w:rsidRPr="006D5339">
        <w:rPr>
          <w:rFonts w:ascii="Times New Roman" w:hAnsi="Times New Roman" w:cs="Times New Roman"/>
          <w:sz w:val="24"/>
          <w:szCs w:val="24"/>
        </w:rPr>
        <w:t xml:space="preserve"> </w:t>
      </w:r>
      <w:r w:rsidR="00FA6A37" w:rsidRPr="006D5339">
        <w:rPr>
          <w:rFonts w:ascii="Times New Roman" w:hAnsi="Times New Roman" w:cs="Times New Roman"/>
          <w:sz w:val="24"/>
          <w:szCs w:val="24"/>
        </w:rPr>
        <w:t>referred</w:t>
      </w:r>
      <w:r w:rsidR="00DB1F18" w:rsidRPr="006D5339">
        <w:rPr>
          <w:rFonts w:ascii="Times New Roman" w:hAnsi="Times New Roman" w:cs="Times New Roman"/>
          <w:sz w:val="24"/>
          <w:szCs w:val="24"/>
        </w:rPr>
        <w:t xml:space="preserve"> to mitochondria as mere batteries of the cell</w:t>
      </w:r>
      <w:r w:rsidR="00F83656" w:rsidRPr="006D5339">
        <w:rPr>
          <w:rFonts w:ascii="Times New Roman" w:hAnsi="Times New Roman" w:cs="Times New Roman"/>
          <w:sz w:val="24"/>
          <w:szCs w:val="24"/>
        </w:rPr>
        <w:t xml:space="preserve"> and e</w:t>
      </w:r>
      <w:r w:rsidR="0005499F" w:rsidRPr="006D5339">
        <w:rPr>
          <w:rFonts w:ascii="Times New Roman" w:hAnsi="Times New Roman" w:cs="Times New Roman"/>
          <w:sz w:val="24"/>
          <w:szCs w:val="24"/>
        </w:rPr>
        <w:t xml:space="preserve">thicists have </w:t>
      </w:r>
      <w:r w:rsidR="00DB1F18" w:rsidRPr="006D5339">
        <w:rPr>
          <w:rFonts w:ascii="Times New Roman" w:hAnsi="Times New Roman" w:cs="Times New Roman"/>
          <w:sz w:val="24"/>
          <w:szCs w:val="24"/>
        </w:rPr>
        <w:t xml:space="preserve">compared </w:t>
      </w:r>
      <w:r w:rsidR="00F83656" w:rsidRPr="006D5339">
        <w:rPr>
          <w:rFonts w:ascii="Times New Roman" w:hAnsi="Times New Roman" w:cs="Times New Roman"/>
          <w:sz w:val="24"/>
          <w:szCs w:val="24"/>
        </w:rPr>
        <w:t>MRT</w:t>
      </w:r>
      <w:r w:rsidR="00DB1F18" w:rsidRPr="006D5339">
        <w:rPr>
          <w:rFonts w:ascii="Times New Roman" w:hAnsi="Times New Roman" w:cs="Times New Roman"/>
          <w:sz w:val="24"/>
          <w:szCs w:val="24"/>
        </w:rPr>
        <w:t xml:space="preserve"> to a “micro-organ transplantation,” alleging there is “no sound basis to oppose MRT” because it constitutes a “cure” so infants can be born without mitochondrial disease.</w:t>
      </w:r>
      <w:r w:rsidR="00DB1F18" w:rsidRPr="00E64372">
        <w:rPr>
          <w:rStyle w:val="EndnoteReference"/>
          <w:rFonts w:ascii="Times New Roman" w:hAnsi="Times New Roman" w:cs="Times New Roman"/>
          <w:sz w:val="24"/>
          <w:szCs w:val="24"/>
        </w:rPr>
        <w:endnoteReference w:id="20"/>
      </w:r>
      <w:r w:rsidR="00DB1F18" w:rsidRPr="006D5339">
        <w:rPr>
          <w:rFonts w:ascii="Times New Roman" w:hAnsi="Times New Roman" w:cs="Times New Roman"/>
          <w:sz w:val="24"/>
          <w:szCs w:val="24"/>
        </w:rPr>
        <w:t xml:space="preserve">  </w:t>
      </w:r>
    </w:p>
    <w:p w14:paraId="053ABA54" w14:textId="77777777" w:rsidR="006D5339" w:rsidRDefault="00D27299" w:rsidP="00701582">
      <w:pPr>
        <w:pStyle w:val="NoSpacing"/>
        <w:numPr>
          <w:ilvl w:val="2"/>
          <w:numId w:val="32"/>
        </w:numPr>
        <w:rPr>
          <w:rFonts w:ascii="Times New Roman" w:hAnsi="Times New Roman" w:cs="Times New Roman"/>
          <w:sz w:val="24"/>
          <w:szCs w:val="24"/>
        </w:rPr>
      </w:pPr>
      <w:r w:rsidRPr="006D5339">
        <w:rPr>
          <w:rFonts w:ascii="Times New Roman" w:hAnsi="Times New Roman" w:cs="Times New Roman"/>
          <w:sz w:val="24"/>
          <w:szCs w:val="24"/>
        </w:rPr>
        <w:t>MR</w:t>
      </w:r>
      <w:r w:rsidR="00FA6A37" w:rsidRPr="006D5339">
        <w:rPr>
          <w:rFonts w:ascii="Times New Roman" w:hAnsi="Times New Roman" w:cs="Times New Roman"/>
          <w:sz w:val="24"/>
          <w:szCs w:val="24"/>
        </w:rPr>
        <w:t xml:space="preserve">T </w:t>
      </w:r>
      <w:r w:rsidR="00F153C7" w:rsidRPr="006D5339">
        <w:rPr>
          <w:rFonts w:ascii="Times New Roman" w:hAnsi="Times New Roman" w:cs="Times New Roman"/>
          <w:sz w:val="24"/>
          <w:szCs w:val="24"/>
        </w:rPr>
        <w:t xml:space="preserve">is highly risky, </w:t>
      </w:r>
      <w:r w:rsidR="00FA6A37" w:rsidRPr="006D5339">
        <w:rPr>
          <w:rFonts w:ascii="Times New Roman" w:hAnsi="Times New Roman" w:cs="Times New Roman"/>
          <w:sz w:val="24"/>
          <w:szCs w:val="24"/>
        </w:rPr>
        <w:t>experimental</w:t>
      </w:r>
      <w:r w:rsidR="00F153C7" w:rsidRPr="006D5339">
        <w:rPr>
          <w:rFonts w:ascii="Times New Roman" w:hAnsi="Times New Roman" w:cs="Times New Roman"/>
          <w:sz w:val="24"/>
          <w:szCs w:val="24"/>
        </w:rPr>
        <w:t>,</w:t>
      </w:r>
      <w:r w:rsidR="00FA6A37" w:rsidRPr="006D5339">
        <w:rPr>
          <w:rFonts w:ascii="Times New Roman" w:hAnsi="Times New Roman" w:cs="Times New Roman"/>
          <w:sz w:val="24"/>
          <w:szCs w:val="24"/>
        </w:rPr>
        <w:t xml:space="preserve"> and </w:t>
      </w:r>
      <w:r w:rsidR="00EC13BA" w:rsidRPr="006D5339">
        <w:rPr>
          <w:rFonts w:ascii="Times New Roman" w:hAnsi="Times New Roman" w:cs="Times New Roman"/>
          <w:sz w:val="24"/>
          <w:szCs w:val="24"/>
        </w:rPr>
        <w:t>not</w:t>
      </w:r>
      <w:r w:rsidR="00FA6A37" w:rsidRPr="006D5339">
        <w:rPr>
          <w:rFonts w:ascii="Times New Roman" w:hAnsi="Times New Roman" w:cs="Times New Roman"/>
          <w:sz w:val="24"/>
          <w:szCs w:val="24"/>
        </w:rPr>
        <w:t xml:space="preserve"> a curative method to prevent mitochondrial disease</w:t>
      </w:r>
      <w:r w:rsidR="008008AB" w:rsidRPr="006D5339">
        <w:rPr>
          <w:rFonts w:ascii="Times New Roman" w:hAnsi="Times New Roman" w:cs="Times New Roman"/>
          <w:sz w:val="24"/>
          <w:szCs w:val="24"/>
        </w:rPr>
        <w:t xml:space="preserve"> or treat infertility</w:t>
      </w:r>
      <w:r w:rsidR="00FA6A37" w:rsidRPr="006D5339">
        <w:rPr>
          <w:rFonts w:ascii="Times New Roman" w:hAnsi="Times New Roman" w:cs="Times New Roman"/>
          <w:sz w:val="24"/>
          <w:szCs w:val="24"/>
        </w:rPr>
        <w:t>.</w:t>
      </w:r>
    </w:p>
    <w:p w14:paraId="5DE6EE38" w14:textId="77777777" w:rsidR="006D5339" w:rsidRDefault="00D27299" w:rsidP="00701582">
      <w:pPr>
        <w:pStyle w:val="NoSpacing"/>
        <w:numPr>
          <w:ilvl w:val="2"/>
          <w:numId w:val="32"/>
        </w:numPr>
        <w:rPr>
          <w:rFonts w:ascii="Times New Roman" w:hAnsi="Times New Roman" w:cs="Times New Roman"/>
          <w:sz w:val="24"/>
          <w:szCs w:val="24"/>
        </w:rPr>
      </w:pPr>
      <w:r w:rsidRPr="006D5339">
        <w:rPr>
          <w:rFonts w:ascii="Times New Roman" w:hAnsi="Times New Roman" w:cs="Times New Roman"/>
          <w:sz w:val="24"/>
          <w:szCs w:val="24"/>
        </w:rPr>
        <w:t>Touting MR</w:t>
      </w:r>
      <w:r w:rsidR="00FA6A37" w:rsidRPr="006D5339">
        <w:rPr>
          <w:rFonts w:ascii="Times New Roman" w:hAnsi="Times New Roman" w:cs="Times New Roman"/>
          <w:sz w:val="24"/>
          <w:szCs w:val="24"/>
        </w:rPr>
        <w:t>T as a cure for mitochondrial disease is misleading</w:t>
      </w:r>
      <w:r w:rsidR="00021226" w:rsidRPr="006D5339">
        <w:rPr>
          <w:rFonts w:ascii="Times New Roman" w:hAnsi="Times New Roman" w:cs="Times New Roman"/>
          <w:sz w:val="24"/>
          <w:szCs w:val="24"/>
        </w:rPr>
        <w:t xml:space="preserve"> because it will not address most cases.</w:t>
      </w:r>
      <w:r w:rsidR="00FA6A37" w:rsidRPr="006D5339">
        <w:rPr>
          <w:rFonts w:ascii="Times New Roman" w:hAnsi="Times New Roman" w:cs="Times New Roman"/>
          <w:sz w:val="24"/>
          <w:szCs w:val="24"/>
        </w:rPr>
        <w:t xml:space="preserve"> Most </w:t>
      </w:r>
      <w:r w:rsidR="00021226" w:rsidRPr="006D5339">
        <w:rPr>
          <w:rFonts w:ascii="Times New Roman" w:hAnsi="Times New Roman" w:cs="Times New Roman"/>
          <w:sz w:val="24"/>
          <w:szCs w:val="24"/>
        </w:rPr>
        <w:t>instances</w:t>
      </w:r>
      <w:r w:rsidR="00FA6A37" w:rsidRPr="006D5339">
        <w:rPr>
          <w:rFonts w:ascii="Times New Roman" w:hAnsi="Times New Roman" w:cs="Times New Roman"/>
          <w:sz w:val="24"/>
          <w:szCs w:val="24"/>
        </w:rPr>
        <w:t xml:space="preserve"> of mitochondrial disease arise from de novo mutations and mutations in </w:t>
      </w:r>
      <w:proofErr w:type="spellStart"/>
      <w:r w:rsidR="00FA6A37" w:rsidRPr="006D5339">
        <w:rPr>
          <w:rFonts w:ascii="Times New Roman" w:hAnsi="Times New Roman" w:cs="Times New Roman"/>
          <w:sz w:val="24"/>
          <w:szCs w:val="24"/>
        </w:rPr>
        <w:t>nDNA</w:t>
      </w:r>
      <w:proofErr w:type="spellEnd"/>
      <w:r w:rsidR="00FA6A37" w:rsidRPr="006D5339">
        <w:rPr>
          <w:rFonts w:ascii="Times New Roman" w:hAnsi="Times New Roman" w:cs="Times New Roman"/>
          <w:sz w:val="24"/>
          <w:szCs w:val="24"/>
        </w:rPr>
        <w:t>.</w:t>
      </w:r>
      <w:r w:rsidR="00FA6A37" w:rsidRPr="00E64372">
        <w:rPr>
          <w:rStyle w:val="EndnoteReference"/>
          <w:rFonts w:ascii="Times New Roman" w:hAnsi="Times New Roman" w:cs="Times New Roman"/>
          <w:sz w:val="24"/>
          <w:szCs w:val="24"/>
        </w:rPr>
        <w:endnoteReference w:id="21"/>
      </w:r>
      <w:r w:rsidR="00FA6A37" w:rsidRPr="006D5339">
        <w:rPr>
          <w:rFonts w:ascii="Times New Roman" w:hAnsi="Times New Roman" w:cs="Times New Roman"/>
          <w:sz w:val="24"/>
          <w:szCs w:val="24"/>
        </w:rPr>
        <w:t xml:space="preserve"> Approximately 80% of mitochondrial disease </w:t>
      </w:r>
      <w:r w:rsidR="00F70F2D" w:rsidRPr="006D5339">
        <w:rPr>
          <w:rFonts w:ascii="Times New Roman" w:hAnsi="Times New Roman" w:cs="Times New Roman"/>
          <w:sz w:val="24"/>
          <w:szCs w:val="24"/>
        </w:rPr>
        <w:t xml:space="preserve">arises from </w:t>
      </w:r>
      <w:proofErr w:type="spellStart"/>
      <w:r w:rsidR="00F70F2D" w:rsidRPr="006D5339">
        <w:rPr>
          <w:rFonts w:ascii="Times New Roman" w:hAnsi="Times New Roman" w:cs="Times New Roman"/>
          <w:sz w:val="24"/>
          <w:szCs w:val="24"/>
        </w:rPr>
        <w:t>nDNA</w:t>
      </w:r>
      <w:proofErr w:type="spellEnd"/>
      <w:r w:rsidR="00F70F2D" w:rsidRPr="006D5339">
        <w:rPr>
          <w:rFonts w:ascii="Times New Roman" w:hAnsi="Times New Roman" w:cs="Times New Roman"/>
          <w:sz w:val="24"/>
          <w:szCs w:val="24"/>
        </w:rPr>
        <w:t xml:space="preserve"> mutations, </w:t>
      </w:r>
      <w:r w:rsidR="00FA6A37" w:rsidRPr="006D5339">
        <w:rPr>
          <w:rFonts w:ascii="Times New Roman" w:hAnsi="Times New Roman" w:cs="Times New Roman"/>
          <w:sz w:val="24"/>
          <w:szCs w:val="24"/>
        </w:rPr>
        <w:t>which MRT does not address.</w:t>
      </w:r>
      <w:r w:rsidR="00FA6A37" w:rsidRPr="00E64372">
        <w:rPr>
          <w:rStyle w:val="EndnoteReference"/>
          <w:rFonts w:ascii="Times New Roman" w:hAnsi="Times New Roman" w:cs="Times New Roman"/>
          <w:sz w:val="24"/>
          <w:szCs w:val="24"/>
        </w:rPr>
        <w:endnoteReference w:id="22"/>
      </w:r>
    </w:p>
    <w:p w14:paraId="16F03E12" w14:textId="77777777" w:rsidR="006D5339" w:rsidRDefault="006D5339" w:rsidP="006D5339">
      <w:pPr>
        <w:pStyle w:val="NoSpacing"/>
        <w:ind w:left="1620"/>
        <w:rPr>
          <w:rFonts w:ascii="Times New Roman" w:hAnsi="Times New Roman" w:cs="Times New Roman"/>
          <w:sz w:val="24"/>
          <w:szCs w:val="24"/>
        </w:rPr>
      </w:pPr>
    </w:p>
    <w:p w14:paraId="15A5AD0A" w14:textId="77777777" w:rsidR="006D5339" w:rsidRDefault="00263FAC" w:rsidP="00701582">
      <w:pPr>
        <w:pStyle w:val="NoSpacing"/>
        <w:numPr>
          <w:ilvl w:val="1"/>
          <w:numId w:val="32"/>
        </w:numPr>
        <w:rPr>
          <w:rFonts w:ascii="Times New Roman" w:hAnsi="Times New Roman" w:cs="Times New Roman"/>
          <w:sz w:val="24"/>
          <w:szCs w:val="24"/>
        </w:rPr>
      </w:pPr>
      <w:r w:rsidRPr="006D5339">
        <w:rPr>
          <w:rFonts w:ascii="Times New Roman" w:hAnsi="Times New Roman" w:cs="Times New Roman"/>
          <w:sz w:val="24"/>
          <w:szCs w:val="24"/>
          <w:u w:val="single"/>
        </w:rPr>
        <w:t>Misleading statements about Human Genome Editing</w:t>
      </w:r>
    </w:p>
    <w:p w14:paraId="0DBC0278" w14:textId="77777777" w:rsidR="006D5339" w:rsidRDefault="00263FAC" w:rsidP="00701582">
      <w:pPr>
        <w:pStyle w:val="NoSpacing"/>
        <w:numPr>
          <w:ilvl w:val="2"/>
          <w:numId w:val="32"/>
        </w:numPr>
        <w:rPr>
          <w:rFonts w:ascii="Times New Roman" w:hAnsi="Times New Roman" w:cs="Times New Roman"/>
          <w:sz w:val="24"/>
          <w:szCs w:val="24"/>
        </w:rPr>
      </w:pPr>
      <w:r w:rsidRPr="006D5339">
        <w:rPr>
          <w:rFonts w:ascii="Times New Roman" w:hAnsi="Times New Roman" w:cs="Times New Roman"/>
          <w:sz w:val="24"/>
          <w:szCs w:val="24"/>
        </w:rPr>
        <w:t xml:space="preserve">Both media and scientific articles have described genome editing as method for scientists to make precise corrections, to eliminate mutant genes, correct genetic flaws and efficiently treat or even cure disease.  </w:t>
      </w:r>
    </w:p>
    <w:p w14:paraId="03431202" w14:textId="26E486C0" w:rsidR="006D5339" w:rsidRDefault="00D43C16" w:rsidP="00701582">
      <w:pPr>
        <w:pStyle w:val="NoSpacing"/>
        <w:numPr>
          <w:ilvl w:val="2"/>
          <w:numId w:val="32"/>
        </w:numPr>
        <w:rPr>
          <w:rFonts w:ascii="Times New Roman" w:hAnsi="Times New Roman" w:cs="Times New Roman"/>
          <w:sz w:val="24"/>
          <w:szCs w:val="24"/>
        </w:rPr>
      </w:pPr>
      <w:r w:rsidRPr="006D5339">
        <w:rPr>
          <w:rFonts w:ascii="Times New Roman" w:hAnsi="Times New Roman" w:cs="Times New Roman"/>
          <w:sz w:val="24"/>
          <w:szCs w:val="24"/>
        </w:rPr>
        <w:lastRenderedPageBreak/>
        <w:t>Human genome editing has been described as a “search and replace” mechanism to specifically as a mechanism to address monogenic diseases such as Huntington’s Disease and Cystic Fibrosis.  This is not scientifically feasible or accurate because even single gene disorders involve many areas on the human genome.</w:t>
      </w:r>
      <w:r w:rsidR="00D9787E">
        <w:rPr>
          <w:rStyle w:val="EndnoteReference"/>
          <w:rFonts w:ascii="Times New Roman" w:hAnsi="Times New Roman" w:cs="Times New Roman"/>
          <w:sz w:val="24"/>
          <w:szCs w:val="24"/>
        </w:rPr>
        <w:endnoteReference w:id="23"/>
      </w:r>
    </w:p>
    <w:p w14:paraId="7A1F503E" w14:textId="77777777" w:rsidR="006D5339" w:rsidRDefault="00D43C16" w:rsidP="00701582">
      <w:pPr>
        <w:pStyle w:val="NoSpacing"/>
        <w:numPr>
          <w:ilvl w:val="2"/>
          <w:numId w:val="32"/>
        </w:numPr>
        <w:rPr>
          <w:rFonts w:ascii="Times New Roman" w:hAnsi="Times New Roman" w:cs="Times New Roman"/>
          <w:sz w:val="24"/>
          <w:szCs w:val="24"/>
        </w:rPr>
      </w:pPr>
      <w:r w:rsidRPr="006D5339">
        <w:rPr>
          <w:rFonts w:ascii="Times New Roman" w:hAnsi="Times New Roman" w:cs="Times New Roman"/>
          <w:sz w:val="24"/>
          <w:szCs w:val="24"/>
        </w:rPr>
        <w:t xml:space="preserve">Human genome editing is also highly risky, experimental, and it </w:t>
      </w:r>
      <w:r w:rsidR="008008AB" w:rsidRPr="006D5339">
        <w:rPr>
          <w:rFonts w:ascii="Times New Roman" w:hAnsi="Times New Roman" w:cs="Times New Roman"/>
          <w:sz w:val="24"/>
          <w:szCs w:val="24"/>
        </w:rPr>
        <w:t>not</w:t>
      </w:r>
      <w:r w:rsidRPr="006D5339">
        <w:rPr>
          <w:rFonts w:ascii="Times New Roman" w:hAnsi="Times New Roman" w:cs="Times New Roman"/>
          <w:sz w:val="24"/>
          <w:szCs w:val="24"/>
        </w:rPr>
        <w:t xml:space="preserve"> a curative therapy.</w:t>
      </w:r>
    </w:p>
    <w:p w14:paraId="31589837" w14:textId="2398F6D8" w:rsidR="006D5339" w:rsidRDefault="006D5339" w:rsidP="006D5339">
      <w:pPr>
        <w:pStyle w:val="NoSpacing"/>
        <w:ind w:left="1800"/>
        <w:rPr>
          <w:rFonts w:ascii="Times New Roman" w:hAnsi="Times New Roman" w:cs="Times New Roman"/>
          <w:sz w:val="24"/>
          <w:szCs w:val="24"/>
        </w:rPr>
      </w:pPr>
    </w:p>
    <w:p w14:paraId="3E4278F0" w14:textId="77777777" w:rsidR="006D5339" w:rsidRDefault="006D5339" w:rsidP="006D5339">
      <w:pPr>
        <w:pStyle w:val="NoSpacing"/>
        <w:ind w:left="1800"/>
        <w:rPr>
          <w:rFonts w:ascii="Times New Roman" w:hAnsi="Times New Roman" w:cs="Times New Roman"/>
          <w:sz w:val="24"/>
          <w:szCs w:val="24"/>
        </w:rPr>
      </w:pPr>
    </w:p>
    <w:p w14:paraId="58635286" w14:textId="55196B8A" w:rsidR="00D534A1" w:rsidRPr="00D534A1" w:rsidRDefault="00C265C5" w:rsidP="00701582">
      <w:pPr>
        <w:pStyle w:val="NoSpacing"/>
        <w:numPr>
          <w:ilvl w:val="0"/>
          <w:numId w:val="32"/>
        </w:numPr>
        <w:rPr>
          <w:rFonts w:ascii="Times New Roman" w:hAnsi="Times New Roman" w:cs="Times New Roman"/>
          <w:sz w:val="24"/>
          <w:szCs w:val="24"/>
        </w:rPr>
      </w:pPr>
      <w:r w:rsidRPr="006D5339">
        <w:rPr>
          <w:rFonts w:ascii="Times New Roman" w:hAnsi="Times New Roman" w:cs="Times New Roman"/>
          <w:b/>
          <w:sz w:val="24"/>
          <w:szCs w:val="24"/>
        </w:rPr>
        <w:t>The U.S. will not “fall behind” in science and technology.  Dozens of other nations and international agreements unequivocally prohibit human germline modifications as a bright line that should not be crossed.</w:t>
      </w:r>
    </w:p>
    <w:p w14:paraId="4B3F731C" w14:textId="77777777" w:rsidR="00D534A1" w:rsidRDefault="00D534A1" w:rsidP="00D534A1">
      <w:pPr>
        <w:pStyle w:val="NoSpacing"/>
        <w:ind w:left="360"/>
        <w:rPr>
          <w:rFonts w:ascii="Times New Roman" w:hAnsi="Times New Roman" w:cs="Times New Roman"/>
          <w:sz w:val="24"/>
          <w:szCs w:val="24"/>
        </w:rPr>
      </w:pPr>
    </w:p>
    <w:p w14:paraId="78EAC2FC" w14:textId="2731E2DC" w:rsidR="00D534A1" w:rsidRPr="00D534A1" w:rsidRDefault="00D534A1" w:rsidP="00701582">
      <w:pPr>
        <w:pStyle w:val="NoSpacing"/>
        <w:numPr>
          <w:ilvl w:val="1"/>
          <w:numId w:val="32"/>
        </w:numPr>
        <w:rPr>
          <w:rFonts w:ascii="Times New Roman" w:hAnsi="Times New Roman" w:cs="Times New Roman"/>
          <w:sz w:val="24"/>
          <w:szCs w:val="24"/>
        </w:rPr>
      </w:pPr>
      <w:r>
        <w:rPr>
          <w:rFonts w:ascii="Times New Roman" w:hAnsi="Times New Roman" w:cs="Times New Roman"/>
          <w:sz w:val="24"/>
          <w:szCs w:val="24"/>
        </w:rPr>
        <w:t>This constitutes alarmist rhetoric that is not based on the current climate of law internationally.</w:t>
      </w:r>
    </w:p>
    <w:p w14:paraId="60878533" w14:textId="77777777" w:rsidR="006D5339" w:rsidRDefault="006D5339" w:rsidP="006D5339">
      <w:pPr>
        <w:pStyle w:val="NoSpacing"/>
        <w:ind w:left="360"/>
        <w:rPr>
          <w:rFonts w:ascii="Times New Roman" w:hAnsi="Times New Roman" w:cs="Times New Roman"/>
          <w:sz w:val="24"/>
          <w:szCs w:val="24"/>
        </w:rPr>
      </w:pPr>
    </w:p>
    <w:p w14:paraId="5D9C24BB" w14:textId="77777777" w:rsidR="00D534A1" w:rsidRDefault="006D5339" w:rsidP="00701582">
      <w:pPr>
        <w:pStyle w:val="NoSpacing"/>
        <w:numPr>
          <w:ilvl w:val="1"/>
          <w:numId w:val="32"/>
        </w:numPr>
        <w:rPr>
          <w:rFonts w:ascii="Times New Roman" w:hAnsi="Times New Roman" w:cs="Times New Roman"/>
          <w:sz w:val="24"/>
          <w:szCs w:val="24"/>
        </w:rPr>
      </w:pPr>
      <w:r w:rsidRPr="006D5339">
        <w:rPr>
          <w:rFonts w:ascii="Times New Roman" w:hAnsi="Times New Roman" w:cs="Times New Roman"/>
          <w:b/>
          <w:sz w:val="24"/>
          <w:szCs w:val="24"/>
        </w:rPr>
        <w:t>G</w:t>
      </w:r>
      <w:r w:rsidR="00C265C5" w:rsidRPr="006D5339">
        <w:rPr>
          <w:rFonts w:ascii="Times New Roman" w:hAnsi="Times New Roman" w:cs="Times New Roman"/>
          <w:b/>
          <w:sz w:val="24"/>
          <w:szCs w:val="24"/>
        </w:rPr>
        <w:t>lobally, approximately forty countries</w:t>
      </w:r>
      <w:r w:rsidR="00C265C5" w:rsidRPr="00C265C5">
        <w:rPr>
          <w:rStyle w:val="EndnoteReference"/>
          <w:rFonts w:ascii="Times New Roman" w:hAnsi="Times New Roman" w:cs="Times New Roman"/>
          <w:b/>
          <w:sz w:val="24"/>
          <w:szCs w:val="24"/>
        </w:rPr>
        <w:endnoteReference w:id="24"/>
      </w:r>
      <w:r w:rsidR="00C265C5" w:rsidRPr="006D5339">
        <w:rPr>
          <w:rFonts w:ascii="Times New Roman" w:hAnsi="Times New Roman" w:cs="Times New Roman"/>
          <w:b/>
          <w:sz w:val="24"/>
          <w:szCs w:val="24"/>
        </w:rPr>
        <w:t xml:space="preserve"> including Canada,</w:t>
      </w:r>
      <w:r w:rsidR="00C265C5" w:rsidRPr="00C265C5">
        <w:rPr>
          <w:rStyle w:val="EndnoteReference"/>
          <w:rFonts w:ascii="Times New Roman" w:hAnsi="Times New Roman" w:cs="Times New Roman"/>
          <w:b/>
          <w:sz w:val="24"/>
          <w:szCs w:val="24"/>
        </w:rPr>
        <w:endnoteReference w:id="25"/>
      </w:r>
      <w:r w:rsidR="00C265C5" w:rsidRPr="006D5339">
        <w:rPr>
          <w:rFonts w:ascii="Times New Roman" w:hAnsi="Times New Roman" w:cs="Times New Roman"/>
          <w:b/>
          <w:sz w:val="24"/>
          <w:szCs w:val="24"/>
        </w:rPr>
        <w:t xml:space="preserve"> Germany,</w:t>
      </w:r>
      <w:r w:rsidR="00C265C5" w:rsidRPr="00C265C5">
        <w:rPr>
          <w:rStyle w:val="EndnoteReference"/>
          <w:rFonts w:ascii="Times New Roman" w:hAnsi="Times New Roman" w:cs="Times New Roman"/>
          <w:b/>
          <w:sz w:val="24"/>
          <w:szCs w:val="24"/>
        </w:rPr>
        <w:endnoteReference w:id="26"/>
      </w:r>
      <w:r w:rsidR="00C265C5" w:rsidRPr="006D5339">
        <w:rPr>
          <w:rFonts w:ascii="Times New Roman" w:hAnsi="Times New Roman" w:cs="Times New Roman"/>
          <w:b/>
          <w:sz w:val="24"/>
          <w:szCs w:val="24"/>
        </w:rPr>
        <w:t xml:space="preserve"> France,</w:t>
      </w:r>
      <w:r w:rsidR="00C265C5" w:rsidRPr="00C265C5">
        <w:rPr>
          <w:rStyle w:val="EndnoteReference"/>
          <w:rFonts w:ascii="Times New Roman" w:hAnsi="Times New Roman" w:cs="Times New Roman"/>
          <w:b/>
          <w:sz w:val="24"/>
          <w:szCs w:val="24"/>
        </w:rPr>
        <w:endnoteReference w:id="27"/>
      </w:r>
      <w:r w:rsidR="00C265C5" w:rsidRPr="006D5339">
        <w:rPr>
          <w:rFonts w:ascii="Times New Roman" w:hAnsi="Times New Roman" w:cs="Times New Roman"/>
          <w:b/>
          <w:sz w:val="24"/>
          <w:szCs w:val="24"/>
        </w:rPr>
        <w:t xml:space="preserve"> Switzerland,</w:t>
      </w:r>
      <w:r w:rsidR="00C265C5" w:rsidRPr="00C265C5">
        <w:rPr>
          <w:rStyle w:val="EndnoteReference"/>
          <w:rFonts w:ascii="Times New Roman" w:hAnsi="Times New Roman" w:cs="Times New Roman"/>
          <w:b/>
          <w:sz w:val="24"/>
          <w:szCs w:val="24"/>
        </w:rPr>
        <w:endnoteReference w:id="28"/>
      </w:r>
      <w:r w:rsidR="00C265C5" w:rsidRPr="006D5339">
        <w:rPr>
          <w:rFonts w:ascii="Times New Roman" w:hAnsi="Times New Roman" w:cs="Times New Roman"/>
          <w:b/>
          <w:sz w:val="24"/>
          <w:szCs w:val="24"/>
        </w:rPr>
        <w:t xml:space="preserve">  Sweden,</w:t>
      </w:r>
      <w:r w:rsidR="00C265C5" w:rsidRPr="00C265C5">
        <w:rPr>
          <w:rStyle w:val="EndnoteReference"/>
          <w:rFonts w:ascii="Times New Roman" w:hAnsi="Times New Roman" w:cs="Times New Roman"/>
          <w:b/>
          <w:sz w:val="24"/>
          <w:szCs w:val="24"/>
        </w:rPr>
        <w:endnoteReference w:id="29"/>
      </w:r>
      <w:r w:rsidR="00C265C5" w:rsidRPr="006D5339">
        <w:rPr>
          <w:rFonts w:ascii="Times New Roman" w:hAnsi="Times New Roman" w:cs="Times New Roman"/>
          <w:b/>
          <w:sz w:val="24"/>
          <w:szCs w:val="24"/>
        </w:rPr>
        <w:t xml:space="preserve"> and Italy</w:t>
      </w:r>
      <w:r w:rsidR="00C265C5" w:rsidRPr="00C265C5">
        <w:rPr>
          <w:rStyle w:val="EndnoteReference"/>
          <w:rFonts w:ascii="Times New Roman" w:hAnsi="Times New Roman" w:cs="Times New Roman"/>
          <w:b/>
          <w:sz w:val="24"/>
          <w:szCs w:val="24"/>
        </w:rPr>
        <w:endnoteReference w:id="30"/>
      </w:r>
      <w:r w:rsidR="00C265C5" w:rsidRPr="006D5339">
        <w:rPr>
          <w:rFonts w:ascii="Times New Roman" w:hAnsi="Times New Roman" w:cs="Times New Roman"/>
          <w:b/>
          <w:sz w:val="24"/>
          <w:szCs w:val="24"/>
        </w:rPr>
        <w:t xml:space="preserve"> have adopted legislation prohibiting germline intervention on embryos for implantation.</w:t>
      </w:r>
      <w:r w:rsidR="00C265C5" w:rsidRPr="00C265C5">
        <w:rPr>
          <w:rStyle w:val="EndnoteReference"/>
          <w:rFonts w:ascii="Times New Roman" w:hAnsi="Times New Roman" w:cs="Times New Roman"/>
          <w:b/>
          <w:sz w:val="24"/>
          <w:szCs w:val="24"/>
        </w:rPr>
        <w:endnoteReference w:id="31"/>
      </w:r>
      <w:r w:rsidR="00C265C5" w:rsidRPr="006D5339">
        <w:rPr>
          <w:rFonts w:ascii="Times New Roman" w:hAnsi="Times New Roman" w:cs="Times New Roman"/>
          <w:sz w:val="24"/>
          <w:szCs w:val="24"/>
        </w:rPr>
        <w:t xml:space="preserve">  </w:t>
      </w:r>
    </w:p>
    <w:p w14:paraId="4063E304" w14:textId="127640AF" w:rsidR="006D5339" w:rsidRDefault="00C265C5" w:rsidP="00701582">
      <w:pPr>
        <w:pStyle w:val="NoSpacing"/>
        <w:numPr>
          <w:ilvl w:val="2"/>
          <w:numId w:val="32"/>
        </w:numPr>
        <w:rPr>
          <w:rFonts w:ascii="Times New Roman" w:hAnsi="Times New Roman" w:cs="Times New Roman"/>
          <w:sz w:val="24"/>
          <w:szCs w:val="24"/>
        </w:rPr>
      </w:pPr>
      <w:r w:rsidRPr="006D5339">
        <w:rPr>
          <w:rFonts w:ascii="Times New Roman" w:hAnsi="Times New Roman" w:cs="Times New Roman"/>
          <w:sz w:val="24"/>
          <w:szCs w:val="24"/>
        </w:rPr>
        <w:t xml:space="preserve">Laws enacted in the </w:t>
      </w:r>
      <w:proofErr w:type="gramStart"/>
      <w:r w:rsidRPr="006D5339">
        <w:rPr>
          <w:rFonts w:ascii="Times New Roman" w:hAnsi="Times New Roman" w:cs="Times New Roman"/>
          <w:sz w:val="24"/>
          <w:szCs w:val="24"/>
        </w:rPr>
        <w:t>aforementioned nations</w:t>
      </w:r>
      <w:proofErr w:type="gramEnd"/>
      <w:r w:rsidRPr="006D5339">
        <w:rPr>
          <w:rFonts w:ascii="Times New Roman" w:hAnsi="Times New Roman" w:cs="Times New Roman"/>
          <w:sz w:val="24"/>
          <w:szCs w:val="24"/>
        </w:rPr>
        <w:t xml:space="preserve"> not only prohibit germline or heritable modification, but such actions constitute criminal violation subject</w:t>
      </w:r>
      <w:r w:rsidR="006D5339">
        <w:rPr>
          <w:rFonts w:ascii="Times New Roman" w:hAnsi="Times New Roman" w:cs="Times New Roman"/>
          <w:sz w:val="24"/>
          <w:szCs w:val="24"/>
        </w:rPr>
        <w:t xml:space="preserve"> to fines and or imprisonment.</w:t>
      </w:r>
    </w:p>
    <w:p w14:paraId="34C7866A" w14:textId="77777777" w:rsidR="006D5339" w:rsidRDefault="00C265C5" w:rsidP="00701582">
      <w:pPr>
        <w:pStyle w:val="NoSpacing"/>
        <w:numPr>
          <w:ilvl w:val="2"/>
          <w:numId w:val="32"/>
        </w:numPr>
        <w:rPr>
          <w:rFonts w:ascii="Times New Roman" w:hAnsi="Times New Roman" w:cs="Times New Roman"/>
          <w:sz w:val="24"/>
          <w:szCs w:val="24"/>
        </w:rPr>
      </w:pPr>
      <w:r w:rsidRPr="006D5339">
        <w:rPr>
          <w:rFonts w:ascii="Times New Roman" w:hAnsi="Times New Roman" w:cs="Times New Roman"/>
          <w:sz w:val="24"/>
          <w:szCs w:val="24"/>
        </w:rPr>
        <w:t xml:space="preserve">Unequivocally prohibiting and criminalizing an action communicates the egregiousness, potential for harm, and social unacceptability of such an action in these nations. </w:t>
      </w:r>
    </w:p>
    <w:p w14:paraId="6543D342" w14:textId="044D4EA3" w:rsidR="006D5339" w:rsidRDefault="00D534A1" w:rsidP="00701582">
      <w:pPr>
        <w:pStyle w:val="NoSpacing"/>
        <w:numPr>
          <w:ilvl w:val="2"/>
          <w:numId w:val="32"/>
        </w:numPr>
        <w:rPr>
          <w:rFonts w:ascii="Times New Roman" w:hAnsi="Times New Roman" w:cs="Times New Roman"/>
          <w:sz w:val="24"/>
          <w:szCs w:val="24"/>
        </w:rPr>
      </w:pPr>
      <w:r>
        <w:rPr>
          <w:rFonts w:ascii="Times New Roman" w:hAnsi="Times New Roman" w:cs="Times New Roman"/>
          <w:sz w:val="24"/>
          <w:szCs w:val="24"/>
        </w:rPr>
        <w:t>T</w:t>
      </w:r>
      <w:r w:rsidR="00C265C5" w:rsidRPr="006D5339">
        <w:rPr>
          <w:rFonts w:ascii="Times New Roman" w:hAnsi="Times New Roman" w:cs="Times New Roman"/>
          <w:sz w:val="24"/>
          <w:szCs w:val="24"/>
        </w:rPr>
        <w:t xml:space="preserve">hese laws demonstrate many countries acknowledge the lure of </w:t>
      </w:r>
      <w:proofErr w:type="gramStart"/>
      <w:r w:rsidR="00C265C5" w:rsidRPr="006D5339">
        <w:rPr>
          <w:rFonts w:ascii="Times New Roman" w:hAnsi="Times New Roman" w:cs="Times New Roman"/>
          <w:sz w:val="24"/>
          <w:szCs w:val="24"/>
        </w:rPr>
        <w:t>technology, but</w:t>
      </w:r>
      <w:proofErr w:type="gramEnd"/>
      <w:r w:rsidR="00C265C5" w:rsidRPr="006D5339">
        <w:rPr>
          <w:rFonts w:ascii="Times New Roman" w:hAnsi="Times New Roman" w:cs="Times New Roman"/>
          <w:sz w:val="24"/>
          <w:szCs w:val="24"/>
        </w:rPr>
        <w:t xml:space="preserve"> renounce risky experiments that cross the historical bright line of manipulating future generations.</w:t>
      </w:r>
      <w:r w:rsidR="00C265C5" w:rsidRPr="00BC38B4">
        <w:rPr>
          <w:rStyle w:val="EndnoteReference"/>
          <w:rFonts w:ascii="Times New Roman" w:hAnsi="Times New Roman" w:cs="Times New Roman"/>
          <w:sz w:val="24"/>
          <w:szCs w:val="24"/>
        </w:rPr>
        <w:endnoteReference w:id="32"/>
      </w:r>
      <w:r w:rsidR="00C265C5" w:rsidRPr="006D5339">
        <w:rPr>
          <w:rFonts w:ascii="Times New Roman" w:hAnsi="Times New Roman" w:cs="Times New Roman"/>
          <w:sz w:val="24"/>
          <w:szCs w:val="24"/>
        </w:rPr>
        <w:t xml:space="preserve"> </w:t>
      </w:r>
    </w:p>
    <w:p w14:paraId="31E3D1E6" w14:textId="482D51BF" w:rsidR="006D5339" w:rsidRDefault="00C265C5" w:rsidP="00701582">
      <w:pPr>
        <w:pStyle w:val="NoSpacing"/>
        <w:numPr>
          <w:ilvl w:val="2"/>
          <w:numId w:val="32"/>
        </w:numPr>
        <w:rPr>
          <w:rFonts w:ascii="Times New Roman" w:hAnsi="Times New Roman" w:cs="Times New Roman"/>
          <w:sz w:val="24"/>
          <w:szCs w:val="24"/>
        </w:rPr>
      </w:pPr>
      <w:r w:rsidRPr="006D5339">
        <w:rPr>
          <w:rFonts w:ascii="Times New Roman" w:hAnsi="Times New Roman" w:cs="Times New Roman"/>
          <w:sz w:val="24"/>
          <w:szCs w:val="24"/>
        </w:rPr>
        <w:t>Prohibitions do not stem from “irrational fear” but instead affirm longstanding precedent based on reasoned deliberation</w:t>
      </w:r>
      <w:r w:rsidR="00D534A1">
        <w:rPr>
          <w:rFonts w:ascii="Times New Roman" w:hAnsi="Times New Roman" w:cs="Times New Roman"/>
          <w:sz w:val="24"/>
          <w:szCs w:val="24"/>
        </w:rPr>
        <w:t>.</w:t>
      </w:r>
    </w:p>
    <w:p w14:paraId="05324751" w14:textId="77777777" w:rsidR="00455B8A" w:rsidRDefault="00455B8A" w:rsidP="00455B8A">
      <w:pPr>
        <w:pStyle w:val="NoSpacing"/>
        <w:ind w:left="1080"/>
        <w:rPr>
          <w:rFonts w:ascii="Times New Roman" w:hAnsi="Times New Roman" w:cs="Times New Roman"/>
          <w:sz w:val="24"/>
          <w:szCs w:val="24"/>
        </w:rPr>
      </w:pPr>
    </w:p>
    <w:p w14:paraId="05F1FE1A" w14:textId="5F7B9E8C" w:rsidR="007E3DFD" w:rsidRDefault="00455B8A" w:rsidP="00701582">
      <w:pPr>
        <w:pStyle w:val="NoSpacing"/>
        <w:numPr>
          <w:ilvl w:val="0"/>
          <w:numId w:val="32"/>
        </w:numPr>
        <w:rPr>
          <w:rFonts w:ascii="Times New Roman" w:hAnsi="Times New Roman" w:cs="Times New Roman"/>
          <w:sz w:val="24"/>
          <w:szCs w:val="24"/>
        </w:rPr>
      </w:pPr>
      <w:r w:rsidRPr="00D9787E">
        <w:rPr>
          <w:rFonts w:ascii="Times New Roman" w:hAnsi="Times New Roman" w:cs="Times New Roman"/>
          <w:b/>
          <w:sz w:val="24"/>
          <w:szCs w:val="24"/>
          <w:u w:val="single"/>
        </w:rPr>
        <w:t>The U.S. should n</w:t>
      </w:r>
      <w:r w:rsidR="00900AB6" w:rsidRPr="00D9787E">
        <w:rPr>
          <w:rFonts w:ascii="Times New Roman" w:hAnsi="Times New Roman" w:cs="Times New Roman"/>
          <w:b/>
          <w:sz w:val="24"/>
          <w:szCs w:val="24"/>
          <w:u w:val="single"/>
        </w:rPr>
        <w:t>ot permit any exception for MRT</w:t>
      </w:r>
      <w:r w:rsidRPr="007E3DFD">
        <w:rPr>
          <w:rFonts w:ascii="Times New Roman" w:hAnsi="Times New Roman" w:cs="Times New Roman"/>
          <w:b/>
          <w:sz w:val="24"/>
          <w:szCs w:val="24"/>
        </w:rPr>
        <w:t>.</w:t>
      </w:r>
      <w:r w:rsidR="007E3DFD" w:rsidRPr="007E3DFD">
        <w:rPr>
          <w:rFonts w:ascii="Times New Roman" w:hAnsi="Times New Roman" w:cs="Times New Roman"/>
          <w:b/>
          <w:sz w:val="24"/>
          <w:szCs w:val="24"/>
        </w:rPr>
        <w:t xml:space="preserve">  Appropriate policymaking looks not only at the conclusion or recommendations of expert reports, but at whether the evidence supports such conclusion</w:t>
      </w:r>
      <w:r w:rsidR="007E3DFD">
        <w:rPr>
          <w:rFonts w:ascii="Times New Roman" w:hAnsi="Times New Roman" w:cs="Times New Roman"/>
          <w:sz w:val="24"/>
          <w:szCs w:val="24"/>
        </w:rPr>
        <w:t xml:space="preserve">. </w:t>
      </w:r>
    </w:p>
    <w:p w14:paraId="797F87AC" w14:textId="77777777" w:rsidR="007E3DFD" w:rsidRDefault="007E3DFD" w:rsidP="007E3DFD">
      <w:pPr>
        <w:pStyle w:val="NoSpacing"/>
        <w:ind w:left="360"/>
        <w:rPr>
          <w:rFonts w:ascii="Times New Roman" w:hAnsi="Times New Roman" w:cs="Times New Roman"/>
          <w:sz w:val="24"/>
          <w:szCs w:val="24"/>
        </w:rPr>
      </w:pPr>
    </w:p>
    <w:p w14:paraId="068FFACD" w14:textId="77777777" w:rsidR="007E3DFD" w:rsidRDefault="005078A3" w:rsidP="00701582">
      <w:pPr>
        <w:pStyle w:val="NoSpacing"/>
        <w:numPr>
          <w:ilvl w:val="1"/>
          <w:numId w:val="32"/>
        </w:numPr>
        <w:rPr>
          <w:rFonts w:ascii="Times New Roman" w:hAnsi="Times New Roman" w:cs="Times New Roman"/>
          <w:sz w:val="24"/>
          <w:szCs w:val="24"/>
        </w:rPr>
      </w:pPr>
      <w:r w:rsidRPr="007E3DFD">
        <w:rPr>
          <w:rFonts w:ascii="Times New Roman" w:hAnsi="Times New Roman" w:cs="Times New Roman"/>
          <w:sz w:val="24"/>
          <w:szCs w:val="24"/>
        </w:rPr>
        <w:t xml:space="preserve">In 2016, The National Academies </w:t>
      </w:r>
      <w:r w:rsidR="007E3DFD" w:rsidRPr="007E3DFD">
        <w:rPr>
          <w:rFonts w:ascii="Times New Roman" w:hAnsi="Times New Roman" w:cs="Times New Roman"/>
          <w:sz w:val="24"/>
          <w:szCs w:val="24"/>
        </w:rPr>
        <w:t>stated</w:t>
      </w:r>
      <w:r w:rsidRPr="007E3DFD">
        <w:rPr>
          <w:rFonts w:ascii="Times New Roman" w:hAnsi="Times New Roman" w:cs="Times New Roman"/>
          <w:sz w:val="24"/>
          <w:szCs w:val="24"/>
        </w:rPr>
        <w:t xml:space="preserve"> it is ethically permissible for the FDA to conduct clinical investigations</w:t>
      </w:r>
      <w:r w:rsidR="007E3DFD" w:rsidRPr="007E3DFD">
        <w:rPr>
          <w:rFonts w:ascii="Times New Roman" w:hAnsi="Times New Roman" w:cs="Times New Roman"/>
          <w:sz w:val="24"/>
          <w:szCs w:val="24"/>
        </w:rPr>
        <w:t xml:space="preserve"> subject to a set of conditions.</w:t>
      </w:r>
    </w:p>
    <w:p w14:paraId="56FA18F1" w14:textId="070AC47C" w:rsidR="00900AB6" w:rsidRDefault="007E3DFD" w:rsidP="00701582">
      <w:pPr>
        <w:pStyle w:val="NoSpacing"/>
        <w:numPr>
          <w:ilvl w:val="1"/>
          <w:numId w:val="32"/>
        </w:numPr>
        <w:rPr>
          <w:rFonts w:ascii="Times New Roman" w:hAnsi="Times New Roman" w:cs="Times New Roman"/>
          <w:sz w:val="24"/>
          <w:szCs w:val="24"/>
        </w:rPr>
      </w:pPr>
      <w:r w:rsidRPr="007E3DFD">
        <w:rPr>
          <w:rFonts w:ascii="Times New Roman" w:hAnsi="Times New Roman" w:cs="Times New Roman"/>
          <w:sz w:val="24"/>
          <w:szCs w:val="24"/>
        </w:rPr>
        <w:t xml:space="preserve">However, this conclusion </w:t>
      </w:r>
      <w:r w:rsidR="005078A3" w:rsidRPr="007E3DFD">
        <w:rPr>
          <w:rFonts w:ascii="Times New Roman" w:hAnsi="Times New Roman" w:cs="Times New Roman"/>
          <w:sz w:val="24"/>
          <w:szCs w:val="24"/>
        </w:rPr>
        <w:t xml:space="preserve">dismissed </w:t>
      </w:r>
      <w:r w:rsidRPr="007E3DFD">
        <w:rPr>
          <w:rFonts w:ascii="Times New Roman" w:hAnsi="Times New Roman" w:cs="Times New Roman"/>
          <w:sz w:val="24"/>
          <w:szCs w:val="24"/>
        </w:rPr>
        <w:t>extensive</w:t>
      </w:r>
      <w:r w:rsidR="005078A3" w:rsidRPr="007E3DFD">
        <w:rPr>
          <w:rFonts w:ascii="Times New Roman" w:hAnsi="Times New Roman" w:cs="Times New Roman"/>
          <w:sz w:val="24"/>
          <w:szCs w:val="24"/>
        </w:rPr>
        <w:t xml:space="preserve"> concerns of multiple experts present at </w:t>
      </w:r>
      <w:r w:rsidRPr="007E3DFD">
        <w:rPr>
          <w:rFonts w:ascii="Times New Roman" w:hAnsi="Times New Roman" w:cs="Times New Roman"/>
          <w:sz w:val="24"/>
          <w:szCs w:val="24"/>
        </w:rPr>
        <w:t xml:space="preserve">the </w:t>
      </w:r>
      <w:r w:rsidR="005078A3" w:rsidRPr="007E3DFD">
        <w:rPr>
          <w:rFonts w:ascii="Times New Roman" w:hAnsi="Times New Roman" w:cs="Times New Roman"/>
          <w:sz w:val="24"/>
          <w:szCs w:val="24"/>
        </w:rPr>
        <w:t xml:space="preserve">2014 </w:t>
      </w:r>
      <w:r w:rsidRPr="007E3DFD">
        <w:rPr>
          <w:rFonts w:ascii="Times New Roman" w:hAnsi="Times New Roman" w:cs="Times New Roman"/>
          <w:sz w:val="24"/>
          <w:szCs w:val="24"/>
        </w:rPr>
        <w:t>Cellular, Tissue, and Gene Therapies Advisory Committee of the FDA (described below</w:t>
      </w:r>
      <w:r w:rsidR="00900AB6">
        <w:rPr>
          <w:rFonts w:ascii="Times New Roman" w:hAnsi="Times New Roman" w:cs="Times New Roman"/>
          <w:sz w:val="24"/>
          <w:szCs w:val="24"/>
        </w:rPr>
        <w:t xml:space="preserve"> in #10</w:t>
      </w:r>
      <w:r w:rsidRPr="007E3DFD">
        <w:rPr>
          <w:rFonts w:ascii="Times New Roman" w:hAnsi="Times New Roman" w:cs="Times New Roman"/>
          <w:sz w:val="24"/>
          <w:szCs w:val="24"/>
        </w:rPr>
        <w:t>).</w:t>
      </w:r>
    </w:p>
    <w:p w14:paraId="02EB107C" w14:textId="77777777" w:rsidR="00D9787E" w:rsidRDefault="00D9787E" w:rsidP="00D9787E">
      <w:pPr>
        <w:pStyle w:val="NoSpacing"/>
        <w:numPr>
          <w:ilvl w:val="2"/>
          <w:numId w:val="32"/>
        </w:numPr>
        <w:rPr>
          <w:rFonts w:ascii="Times New Roman" w:hAnsi="Times New Roman" w:cs="Times New Roman"/>
          <w:sz w:val="24"/>
          <w:szCs w:val="24"/>
        </w:rPr>
      </w:pPr>
      <w:r w:rsidRPr="00C93B02">
        <w:rPr>
          <w:rFonts w:ascii="Times New Roman" w:hAnsi="Times New Roman" w:cs="Times New Roman"/>
          <w:sz w:val="24"/>
          <w:szCs w:val="24"/>
        </w:rPr>
        <w:t>Participants at the 2014, the FDA’s Cellular, Tissue, and Gene Therapies Advisory Committee reiterated</w:t>
      </w:r>
      <w:r w:rsidRPr="00C93B02">
        <w:rPr>
          <w:rFonts w:ascii="Times New Roman" w:hAnsi="Times New Roman" w:cs="Times New Roman"/>
          <w:i/>
          <w:sz w:val="24"/>
          <w:szCs w:val="24"/>
        </w:rPr>
        <w:t xml:space="preserve"> there are less risky alternatives to having children, and the current evidence falls “far short” of showing MRT would be potentially safe and effective.</w:t>
      </w:r>
      <w:r w:rsidRPr="009045C6">
        <w:rPr>
          <w:rStyle w:val="EndnoteReference"/>
          <w:rFonts w:ascii="Times New Roman" w:hAnsi="Times New Roman" w:cs="Times New Roman"/>
          <w:i/>
          <w:sz w:val="24"/>
          <w:szCs w:val="24"/>
        </w:rPr>
        <w:endnoteReference w:id="33"/>
      </w:r>
      <w:r w:rsidRPr="00C93B02">
        <w:rPr>
          <w:rFonts w:ascii="Times New Roman" w:hAnsi="Times New Roman" w:cs="Times New Roman"/>
          <w:i/>
          <w:sz w:val="24"/>
          <w:szCs w:val="24"/>
        </w:rPr>
        <w:t xml:space="preserve">  </w:t>
      </w:r>
    </w:p>
    <w:p w14:paraId="43208716" w14:textId="77777777" w:rsidR="00D9787E" w:rsidRDefault="00D9787E" w:rsidP="00D9787E">
      <w:pPr>
        <w:pStyle w:val="NoSpacing"/>
        <w:ind w:left="1080"/>
        <w:rPr>
          <w:rFonts w:ascii="Times New Roman" w:hAnsi="Times New Roman" w:cs="Times New Roman"/>
          <w:sz w:val="24"/>
          <w:szCs w:val="24"/>
        </w:rPr>
      </w:pPr>
    </w:p>
    <w:p w14:paraId="0A4F0520" w14:textId="77777777" w:rsidR="00900AB6" w:rsidRDefault="00900AB6" w:rsidP="00900AB6">
      <w:pPr>
        <w:pStyle w:val="NoSpacing"/>
        <w:ind w:left="1080"/>
        <w:rPr>
          <w:rFonts w:ascii="Times New Roman" w:hAnsi="Times New Roman" w:cs="Times New Roman"/>
          <w:sz w:val="24"/>
          <w:szCs w:val="24"/>
        </w:rPr>
      </w:pPr>
    </w:p>
    <w:p w14:paraId="039746C6" w14:textId="1EAB5846" w:rsidR="007E3DFD" w:rsidRPr="00900AB6" w:rsidRDefault="007E3DFD" w:rsidP="00701582">
      <w:pPr>
        <w:pStyle w:val="NoSpacing"/>
        <w:numPr>
          <w:ilvl w:val="0"/>
          <w:numId w:val="32"/>
        </w:numPr>
        <w:rPr>
          <w:rFonts w:ascii="Times New Roman" w:hAnsi="Times New Roman" w:cs="Times New Roman"/>
          <w:sz w:val="24"/>
          <w:szCs w:val="24"/>
        </w:rPr>
      </w:pPr>
      <w:r w:rsidRPr="00900AB6">
        <w:rPr>
          <w:rFonts w:ascii="Times New Roman" w:hAnsi="Times New Roman" w:cs="Times New Roman"/>
          <w:b/>
          <w:sz w:val="24"/>
          <w:szCs w:val="24"/>
        </w:rPr>
        <w:lastRenderedPageBreak/>
        <w:t>T</w:t>
      </w:r>
      <w:r w:rsidR="00900AB6">
        <w:rPr>
          <w:rFonts w:ascii="Times New Roman" w:hAnsi="Times New Roman" w:cs="Times New Roman"/>
          <w:b/>
          <w:sz w:val="24"/>
          <w:szCs w:val="24"/>
        </w:rPr>
        <w:t>he U.K.’s policy stance permitting MRT</w:t>
      </w:r>
      <w:r w:rsidRPr="00900AB6">
        <w:rPr>
          <w:rFonts w:ascii="Times New Roman" w:hAnsi="Times New Roman" w:cs="Times New Roman"/>
          <w:b/>
          <w:sz w:val="24"/>
          <w:szCs w:val="24"/>
        </w:rPr>
        <w:t xml:space="preserve"> should not serve as model to </w:t>
      </w:r>
      <w:r w:rsidR="00900AB6">
        <w:rPr>
          <w:rFonts w:ascii="Times New Roman" w:hAnsi="Times New Roman" w:cs="Times New Roman"/>
          <w:b/>
          <w:sz w:val="24"/>
          <w:szCs w:val="24"/>
        </w:rPr>
        <w:t>the U.S.</w:t>
      </w:r>
      <w:r w:rsidRPr="00900AB6">
        <w:rPr>
          <w:rFonts w:ascii="Times New Roman" w:hAnsi="Times New Roman" w:cs="Times New Roman"/>
          <w:b/>
          <w:sz w:val="24"/>
          <w:szCs w:val="24"/>
        </w:rPr>
        <w:t xml:space="preserve"> because it lacked public consensus and summarily dismissed substantial concerns with safety and efficacy.</w:t>
      </w:r>
    </w:p>
    <w:p w14:paraId="3453D687" w14:textId="28436823" w:rsidR="007E3DFD" w:rsidRDefault="007E3DFD" w:rsidP="00701582">
      <w:pPr>
        <w:pStyle w:val="NoSpacing"/>
        <w:numPr>
          <w:ilvl w:val="2"/>
          <w:numId w:val="32"/>
        </w:numPr>
        <w:rPr>
          <w:rFonts w:ascii="Times New Roman" w:hAnsi="Times New Roman" w:cs="Times New Roman"/>
          <w:sz w:val="24"/>
          <w:szCs w:val="24"/>
        </w:rPr>
      </w:pPr>
      <w:r w:rsidRPr="007E3DFD">
        <w:rPr>
          <w:rFonts w:ascii="Times New Roman" w:hAnsi="Times New Roman" w:cs="Times New Roman"/>
          <w:sz w:val="24"/>
          <w:szCs w:val="24"/>
        </w:rPr>
        <w:t xml:space="preserve">Key shortcomings with the </w:t>
      </w:r>
      <w:proofErr w:type="gramStart"/>
      <w:r w:rsidRPr="007E3DFD">
        <w:rPr>
          <w:rFonts w:ascii="Times New Roman" w:hAnsi="Times New Roman" w:cs="Times New Roman"/>
          <w:sz w:val="24"/>
          <w:szCs w:val="24"/>
        </w:rPr>
        <w:t>U.K’s</w:t>
      </w:r>
      <w:proofErr w:type="gramEnd"/>
      <w:r w:rsidRPr="007E3DFD">
        <w:rPr>
          <w:rFonts w:ascii="Times New Roman" w:hAnsi="Times New Roman" w:cs="Times New Roman"/>
          <w:sz w:val="24"/>
          <w:szCs w:val="24"/>
        </w:rPr>
        <w:t xml:space="preserve"> policymaking process:</w:t>
      </w:r>
      <w:r w:rsidR="00645434">
        <w:rPr>
          <w:rStyle w:val="EndnoteReference"/>
          <w:rFonts w:ascii="Times New Roman" w:hAnsi="Times New Roman" w:cs="Times New Roman"/>
          <w:sz w:val="24"/>
          <w:szCs w:val="24"/>
        </w:rPr>
        <w:endnoteReference w:id="34"/>
      </w:r>
    </w:p>
    <w:p w14:paraId="4E550353" w14:textId="77777777" w:rsidR="007E3DFD" w:rsidRDefault="007E3DFD" w:rsidP="00701582">
      <w:pPr>
        <w:pStyle w:val="NoSpacing"/>
        <w:numPr>
          <w:ilvl w:val="3"/>
          <w:numId w:val="32"/>
        </w:numPr>
        <w:rPr>
          <w:rFonts w:ascii="Times New Roman" w:hAnsi="Times New Roman" w:cs="Times New Roman"/>
          <w:sz w:val="24"/>
          <w:szCs w:val="24"/>
        </w:rPr>
      </w:pPr>
      <w:r w:rsidRPr="007E3DFD">
        <w:rPr>
          <w:rFonts w:ascii="Times New Roman" w:hAnsi="Times New Roman" w:cs="Times New Roman"/>
          <w:sz w:val="24"/>
          <w:szCs w:val="24"/>
        </w:rPr>
        <w:t>During the initial proposal, bioethicists, scholars, and scientists voiced dissent because MRT would breach the broad global consensus against germline modifications and urged</w:t>
      </w:r>
      <w:r>
        <w:rPr>
          <w:rFonts w:ascii="Times New Roman" w:hAnsi="Times New Roman" w:cs="Times New Roman"/>
          <w:sz w:val="24"/>
          <w:szCs w:val="24"/>
        </w:rPr>
        <w:t xml:space="preserve"> the government to reconsider. </w:t>
      </w:r>
    </w:p>
    <w:p w14:paraId="1E3265C0" w14:textId="77777777" w:rsidR="007E3DFD" w:rsidRDefault="007E3DFD" w:rsidP="00701582">
      <w:pPr>
        <w:pStyle w:val="NoSpacing"/>
        <w:numPr>
          <w:ilvl w:val="3"/>
          <w:numId w:val="32"/>
        </w:numPr>
        <w:rPr>
          <w:rFonts w:ascii="Times New Roman" w:hAnsi="Times New Roman" w:cs="Times New Roman"/>
          <w:sz w:val="24"/>
          <w:szCs w:val="24"/>
        </w:rPr>
      </w:pPr>
      <w:r w:rsidRPr="007E3DFD">
        <w:rPr>
          <w:rFonts w:ascii="Times New Roman" w:hAnsi="Times New Roman" w:cs="Times New Roman"/>
          <w:sz w:val="24"/>
          <w:szCs w:val="24"/>
        </w:rPr>
        <w:t xml:space="preserve">During the consultation process, numerous scientists provided testimony and correspondence at length relating to safety and efficacy.  </w:t>
      </w:r>
    </w:p>
    <w:p w14:paraId="0F16DCB1" w14:textId="77777777" w:rsidR="007E3DFD" w:rsidRDefault="007E3DFD" w:rsidP="00701582">
      <w:pPr>
        <w:pStyle w:val="NoSpacing"/>
        <w:numPr>
          <w:ilvl w:val="3"/>
          <w:numId w:val="32"/>
        </w:numPr>
        <w:rPr>
          <w:rFonts w:ascii="Times New Roman" w:hAnsi="Times New Roman" w:cs="Times New Roman"/>
          <w:sz w:val="24"/>
          <w:szCs w:val="24"/>
        </w:rPr>
      </w:pPr>
      <w:r w:rsidRPr="007E3DFD">
        <w:rPr>
          <w:rFonts w:ascii="Times New Roman" w:hAnsi="Times New Roman" w:cs="Times New Roman"/>
          <w:sz w:val="24"/>
          <w:szCs w:val="24"/>
        </w:rPr>
        <w:t xml:space="preserve">Scientists objected to HFEA’s conclusions based on available evidence, finding not merely a lack of consensus pertaining to safety and efficacy, but that the available scientific evidence demonstrated how unsafe MRT is.  </w:t>
      </w:r>
    </w:p>
    <w:p w14:paraId="51EA951E" w14:textId="2F6349E7" w:rsidR="007E3DFD" w:rsidRPr="007E3DFD" w:rsidRDefault="007E3DFD" w:rsidP="00701582">
      <w:pPr>
        <w:pStyle w:val="NoSpacing"/>
        <w:numPr>
          <w:ilvl w:val="3"/>
          <w:numId w:val="32"/>
        </w:numPr>
        <w:rPr>
          <w:rFonts w:ascii="Times New Roman" w:hAnsi="Times New Roman" w:cs="Times New Roman"/>
          <w:sz w:val="24"/>
          <w:szCs w:val="24"/>
        </w:rPr>
      </w:pPr>
      <w:r w:rsidRPr="007E3DFD">
        <w:rPr>
          <w:rFonts w:ascii="Times New Roman" w:hAnsi="Times New Roman" w:cs="Times New Roman"/>
          <w:sz w:val="24"/>
          <w:szCs w:val="24"/>
        </w:rPr>
        <w:t>Despite objections based on international governance, evidence demonstrating insufficient safety and efficacy, and lack of public consensus, British Parliament passed the amendment that would permit HFEA to license fertility clinics to offer MRT.</w:t>
      </w:r>
    </w:p>
    <w:p w14:paraId="57149A73" w14:textId="77777777" w:rsidR="006D5339" w:rsidRDefault="006D5339" w:rsidP="006D5339">
      <w:pPr>
        <w:pStyle w:val="NoSpacing"/>
        <w:ind w:left="1620"/>
        <w:rPr>
          <w:rFonts w:ascii="Times New Roman" w:hAnsi="Times New Roman" w:cs="Times New Roman"/>
          <w:sz w:val="24"/>
          <w:szCs w:val="24"/>
        </w:rPr>
      </w:pPr>
    </w:p>
    <w:p w14:paraId="64BDE066" w14:textId="77777777" w:rsidR="006D5339" w:rsidRDefault="00E64372" w:rsidP="00701582">
      <w:pPr>
        <w:pStyle w:val="NoSpacing"/>
        <w:numPr>
          <w:ilvl w:val="0"/>
          <w:numId w:val="32"/>
        </w:numPr>
        <w:rPr>
          <w:rFonts w:ascii="Times New Roman" w:hAnsi="Times New Roman" w:cs="Times New Roman"/>
          <w:sz w:val="24"/>
          <w:szCs w:val="24"/>
        </w:rPr>
      </w:pPr>
      <w:r w:rsidRPr="006D5339">
        <w:rPr>
          <w:rFonts w:ascii="Times New Roman" w:hAnsi="Times New Roman" w:cs="Times New Roman"/>
          <w:b/>
          <w:sz w:val="24"/>
          <w:szCs w:val="24"/>
        </w:rPr>
        <w:t>There are substantial scientific risks involved with human germline modifications through Mitochondrial Replacement Therapy and Human Genome Editing.</w:t>
      </w:r>
    </w:p>
    <w:p w14:paraId="73707E47" w14:textId="77777777" w:rsidR="006D5339" w:rsidRDefault="006D5339" w:rsidP="006D5339">
      <w:pPr>
        <w:pStyle w:val="NoSpacing"/>
        <w:ind w:left="360"/>
        <w:rPr>
          <w:rFonts w:ascii="Times New Roman" w:hAnsi="Times New Roman" w:cs="Times New Roman"/>
          <w:sz w:val="24"/>
          <w:szCs w:val="24"/>
        </w:rPr>
      </w:pPr>
    </w:p>
    <w:p w14:paraId="2881DD36" w14:textId="00F5A7CE" w:rsidR="006D5339" w:rsidRPr="00455B8A" w:rsidRDefault="00D43C16" w:rsidP="00701582">
      <w:pPr>
        <w:pStyle w:val="NoSpacing"/>
        <w:numPr>
          <w:ilvl w:val="1"/>
          <w:numId w:val="32"/>
        </w:numPr>
        <w:rPr>
          <w:rFonts w:ascii="Times New Roman" w:hAnsi="Times New Roman" w:cs="Times New Roman"/>
          <w:sz w:val="24"/>
          <w:szCs w:val="24"/>
        </w:rPr>
      </w:pPr>
      <w:r w:rsidRPr="006D5339">
        <w:rPr>
          <w:rFonts w:ascii="Times New Roman" w:hAnsi="Times New Roman" w:cs="Times New Roman"/>
          <w:sz w:val="24"/>
          <w:szCs w:val="24"/>
          <w:u w:val="single"/>
        </w:rPr>
        <w:t>Risks of Mitochondrial Replacement Therapy</w:t>
      </w:r>
    </w:p>
    <w:p w14:paraId="6B3327F4" w14:textId="77777777" w:rsidR="00455B8A" w:rsidRDefault="00455B8A" w:rsidP="00455B8A">
      <w:pPr>
        <w:pStyle w:val="NoSpacing"/>
        <w:ind w:left="1080"/>
        <w:rPr>
          <w:rFonts w:ascii="Times New Roman" w:hAnsi="Times New Roman" w:cs="Times New Roman"/>
          <w:sz w:val="24"/>
          <w:szCs w:val="24"/>
        </w:rPr>
      </w:pPr>
    </w:p>
    <w:p w14:paraId="3466C268" w14:textId="24943984" w:rsidR="006D5339" w:rsidRDefault="00D43C16" w:rsidP="006D5339">
      <w:pPr>
        <w:pStyle w:val="NoSpacing"/>
        <w:ind w:left="1080"/>
        <w:rPr>
          <w:rFonts w:ascii="Times New Roman" w:hAnsi="Times New Roman" w:cs="Times New Roman"/>
          <w:sz w:val="24"/>
          <w:szCs w:val="24"/>
        </w:rPr>
      </w:pPr>
      <w:r w:rsidRPr="006D5339">
        <w:rPr>
          <w:rFonts w:ascii="Times New Roman" w:hAnsi="Times New Roman" w:cs="Times New Roman"/>
          <w:sz w:val="24"/>
          <w:szCs w:val="24"/>
        </w:rPr>
        <w:t>In 2014, the Cellular, Tissue, and Gene Therapies Advisory Committee of the FDA convened meetings to discuss MRT for both the prevention of mitochondrial disease and the treatment of infertility.</w:t>
      </w:r>
      <w:r w:rsidRPr="00E64372">
        <w:rPr>
          <w:rStyle w:val="EndnoteReference"/>
          <w:rFonts w:ascii="Times New Roman" w:hAnsi="Times New Roman" w:cs="Times New Roman"/>
          <w:sz w:val="24"/>
          <w:szCs w:val="24"/>
        </w:rPr>
        <w:endnoteReference w:id="35"/>
      </w:r>
      <w:r w:rsidRPr="006D5339">
        <w:rPr>
          <w:rFonts w:ascii="Times New Roman" w:hAnsi="Times New Roman" w:cs="Times New Roman"/>
          <w:sz w:val="24"/>
          <w:szCs w:val="24"/>
        </w:rPr>
        <w:t xml:space="preserve"> Participants discussed an extensive list of scientific concerns:</w:t>
      </w:r>
    </w:p>
    <w:p w14:paraId="656F3718" w14:textId="77777777" w:rsidR="00455B8A" w:rsidRPr="006D5339" w:rsidRDefault="00455B8A" w:rsidP="006D5339">
      <w:pPr>
        <w:pStyle w:val="NoSpacing"/>
        <w:ind w:left="1080"/>
        <w:rPr>
          <w:rFonts w:ascii="Times New Roman" w:hAnsi="Times New Roman" w:cs="Times New Roman"/>
          <w:sz w:val="24"/>
          <w:szCs w:val="24"/>
        </w:rPr>
      </w:pPr>
    </w:p>
    <w:p w14:paraId="451E4DD1" w14:textId="77777777" w:rsidR="00C93B02" w:rsidRDefault="003C2137" w:rsidP="00701582">
      <w:pPr>
        <w:pStyle w:val="NoSpacing"/>
        <w:numPr>
          <w:ilvl w:val="2"/>
          <w:numId w:val="32"/>
        </w:numPr>
        <w:rPr>
          <w:rFonts w:ascii="Times New Roman" w:hAnsi="Times New Roman" w:cs="Times New Roman"/>
          <w:sz w:val="24"/>
          <w:szCs w:val="24"/>
        </w:rPr>
      </w:pPr>
      <w:r w:rsidRPr="00E64372">
        <w:rPr>
          <w:rFonts w:ascii="Times New Roman" w:hAnsi="Times New Roman" w:cs="Times New Roman"/>
          <w:b/>
          <w:sz w:val="24"/>
          <w:szCs w:val="24"/>
        </w:rPr>
        <w:t>There are problems determining efficacy and whether the procedure works as intended.</w:t>
      </w:r>
    </w:p>
    <w:p w14:paraId="7C176C0F" w14:textId="4ED46472" w:rsidR="00C93B02" w:rsidRPr="00C93B02" w:rsidRDefault="003C2137" w:rsidP="00701582">
      <w:pPr>
        <w:pStyle w:val="NoSpacing"/>
        <w:numPr>
          <w:ilvl w:val="3"/>
          <w:numId w:val="32"/>
        </w:numPr>
        <w:rPr>
          <w:rFonts w:ascii="Times New Roman" w:hAnsi="Times New Roman" w:cs="Times New Roman"/>
          <w:sz w:val="24"/>
          <w:szCs w:val="24"/>
        </w:rPr>
      </w:pPr>
      <w:r w:rsidRPr="00C93B02">
        <w:rPr>
          <w:rFonts w:ascii="Times New Roman" w:hAnsi="Times New Roman" w:cs="Times New Roman"/>
          <w:sz w:val="24"/>
          <w:szCs w:val="24"/>
        </w:rPr>
        <w:t>T</w:t>
      </w:r>
      <w:r w:rsidR="00D43C16" w:rsidRPr="00C93B02">
        <w:rPr>
          <w:rFonts w:ascii="Times New Roman" w:hAnsi="Times New Roman" w:cs="Times New Roman"/>
          <w:sz w:val="24"/>
          <w:szCs w:val="24"/>
        </w:rPr>
        <w:t>esting the blastomere for viability is not indicative of the health of the child and subsequent offspring.</w:t>
      </w:r>
      <w:r w:rsidR="00D43C16" w:rsidRPr="00E64372">
        <w:rPr>
          <w:rStyle w:val="EndnoteReference"/>
          <w:rFonts w:ascii="Times New Roman" w:hAnsi="Times New Roman" w:cs="Times New Roman"/>
          <w:sz w:val="24"/>
          <w:szCs w:val="24"/>
        </w:rPr>
        <w:endnoteReference w:id="36"/>
      </w:r>
      <w:r w:rsidR="00D43C16" w:rsidRPr="00C93B02">
        <w:rPr>
          <w:rFonts w:ascii="Times New Roman" w:hAnsi="Times New Roman" w:cs="Times New Roman"/>
          <w:sz w:val="24"/>
          <w:szCs w:val="24"/>
        </w:rPr>
        <w:t xml:space="preserve">  One scientist also noted that testing a sample is not indicative of the rest of the inner cell mass, meaning different levels of </w:t>
      </w:r>
      <w:proofErr w:type="spellStart"/>
      <w:r w:rsidR="00D43C16" w:rsidRPr="00C93B02">
        <w:rPr>
          <w:rFonts w:ascii="Times New Roman" w:hAnsi="Times New Roman" w:cs="Times New Roman"/>
          <w:sz w:val="24"/>
          <w:szCs w:val="24"/>
        </w:rPr>
        <w:t>heteroplasmy</w:t>
      </w:r>
      <w:proofErr w:type="spellEnd"/>
      <w:r w:rsidR="00D43C16" w:rsidRPr="00C93B02">
        <w:rPr>
          <w:rFonts w:ascii="Times New Roman" w:hAnsi="Times New Roman" w:cs="Times New Roman"/>
          <w:sz w:val="24"/>
          <w:szCs w:val="24"/>
        </w:rPr>
        <w:t xml:space="preserve"> may exist, and even subsequently develop at varied rates in different tissues though stages of development and the child’s life.</w:t>
      </w:r>
      <w:r w:rsidR="00D43C16" w:rsidRPr="00E64372">
        <w:rPr>
          <w:rStyle w:val="EndnoteReference"/>
          <w:rFonts w:ascii="Times New Roman" w:hAnsi="Times New Roman" w:cs="Times New Roman"/>
          <w:sz w:val="24"/>
          <w:szCs w:val="24"/>
        </w:rPr>
        <w:endnoteReference w:id="37"/>
      </w:r>
      <w:r w:rsidR="00D43C16" w:rsidRPr="00C93B02">
        <w:rPr>
          <w:rFonts w:ascii="Times New Roman" w:hAnsi="Times New Roman" w:cs="Times New Roman"/>
          <w:sz w:val="24"/>
          <w:szCs w:val="24"/>
        </w:rPr>
        <w:t xml:space="preserve">  </w:t>
      </w:r>
    </w:p>
    <w:p w14:paraId="124B5229" w14:textId="77777777" w:rsidR="00C93B02" w:rsidRDefault="00C93B02" w:rsidP="00C93B02">
      <w:pPr>
        <w:pStyle w:val="NoSpacing"/>
        <w:ind w:left="2520"/>
        <w:rPr>
          <w:rFonts w:ascii="Times New Roman" w:hAnsi="Times New Roman" w:cs="Times New Roman"/>
          <w:sz w:val="24"/>
          <w:szCs w:val="24"/>
        </w:rPr>
      </w:pPr>
    </w:p>
    <w:p w14:paraId="5A02178D" w14:textId="77777777" w:rsidR="00C93B02" w:rsidRDefault="00411E24" w:rsidP="00701582">
      <w:pPr>
        <w:pStyle w:val="NoSpacing"/>
        <w:numPr>
          <w:ilvl w:val="2"/>
          <w:numId w:val="32"/>
        </w:numPr>
        <w:rPr>
          <w:rFonts w:ascii="Times New Roman" w:hAnsi="Times New Roman" w:cs="Times New Roman"/>
          <w:sz w:val="24"/>
          <w:szCs w:val="24"/>
        </w:rPr>
      </w:pPr>
      <w:r w:rsidRPr="00C93B02">
        <w:rPr>
          <w:rFonts w:ascii="Times New Roman" w:hAnsi="Times New Roman" w:cs="Times New Roman"/>
          <w:b/>
          <w:sz w:val="24"/>
          <w:szCs w:val="24"/>
        </w:rPr>
        <w:t>Even if it initially appears that the procedure worked, the modification may not work as more time passes</w:t>
      </w:r>
      <w:r w:rsidRPr="00C93B02">
        <w:rPr>
          <w:rFonts w:ascii="Times New Roman" w:hAnsi="Times New Roman" w:cs="Times New Roman"/>
          <w:sz w:val="24"/>
          <w:szCs w:val="24"/>
        </w:rPr>
        <w:t>.</w:t>
      </w:r>
    </w:p>
    <w:p w14:paraId="3555562D" w14:textId="77777777" w:rsidR="00C93B02" w:rsidRDefault="00D43C16" w:rsidP="00701582">
      <w:pPr>
        <w:pStyle w:val="NoSpacing"/>
        <w:numPr>
          <w:ilvl w:val="3"/>
          <w:numId w:val="32"/>
        </w:numPr>
        <w:rPr>
          <w:rFonts w:ascii="Times New Roman" w:hAnsi="Times New Roman" w:cs="Times New Roman"/>
          <w:sz w:val="24"/>
          <w:szCs w:val="24"/>
        </w:rPr>
      </w:pPr>
      <w:r w:rsidRPr="00C93B02">
        <w:rPr>
          <w:rFonts w:ascii="Times New Roman" w:hAnsi="Times New Roman" w:cs="Times New Roman"/>
          <w:sz w:val="24"/>
          <w:szCs w:val="24"/>
        </w:rPr>
        <w:t xml:space="preserve">Segregation and replication of </w:t>
      </w:r>
      <w:proofErr w:type="spellStart"/>
      <w:r w:rsidRPr="00C93B02">
        <w:rPr>
          <w:rFonts w:ascii="Times New Roman" w:hAnsi="Times New Roman" w:cs="Times New Roman"/>
          <w:sz w:val="24"/>
          <w:szCs w:val="24"/>
        </w:rPr>
        <w:t>mtDNA</w:t>
      </w:r>
      <w:proofErr w:type="spellEnd"/>
      <w:r w:rsidRPr="00C93B02">
        <w:rPr>
          <w:rFonts w:ascii="Times New Roman" w:hAnsi="Times New Roman" w:cs="Times New Roman"/>
          <w:sz w:val="24"/>
          <w:szCs w:val="24"/>
        </w:rPr>
        <w:t xml:space="preserve"> occurs according to its own evolutionary system, </w:t>
      </w:r>
      <w:r w:rsidR="003C2137" w:rsidRPr="00C93B02">
        <w:rPr>
          <w:rFonts w:ascii="Times New Roman" w:hAnsi="Times New Roman" w:cs="Times New Roman"/>
          <w:sz w:val="24"/>
          <w:szCs w:val="24"/>
        </w:rPr>
        <w:t>so</w:t>
      </w:r>
      <w:r w:rsidRPr="00C93B02">
        <w:rPr>
          <w:rFonts w:ascii="Times New Roman" w:hAnsi="Times New Roman" w:cs="Times New Roman"/>
          <w:sz w:val="24"/>
          <w:szCs w:val="24"/>
        </w:rPr>
        <w:t xml:space="preserve"> predicting subsequent levels of </w:t>
      </w:r>
      <w:proofErr w:type="spellStart"/>
      <w:r w:rsidRPr="00C93B02">
        <w:rPr>
          <w:rFonts w:ascii="Times New Roman" w:hAnsi="Times New Roman" w:cs="Times New Roman"/>
          <w:sz w:val="24"/>
          <w:szCs w:val="24"/>
        </w:rPr>
        <w:t>heteroplasmy</w:t>
      </w:r>
      <w:proofErr w:type="spellEnd"/>
      <w:r w:rsidRPr="00C93B02">
        <w:rPr>
          <w:rFonts w:ascii="Times New Roman" w:hAnsi="Times New Roman" w:cs="Times New Roman"/>
          <w:sz w:val="24"/>
          <w:szCs w:val="24"/>
        </w:rPr>
        <w:t xml:space="preserve"> </w:t>
      </w:r>
      <w:r w:rsidR="003C2137" w:rsidRPr="00C93B02">
        <w:rPr>
          <w:rFonts w:ascii="Times New Roman" w:hAnsi="Times New Roman" w:cs="Times New Roman"/>
          <w:sz w:val="24"/>
          <w:szCs w:val="24"/>
        </w:rPr>
        <w:t xml:space="preserve">is </w:t>
      </w:r>
      <w:r w:rsidRPr="00C93B02">
        <w:rPr>
          <w:rFonts w:ascii="Times New Roman" w:hAnsi="Times New Roman" w:cs="Times New Roman"/>
          <w:sz w:val="24"/>
          <w:szCs w:val="24"/>
        </w:rPr>
        <w:t>difficult.</w:t>
      </w:r>
      <w:r w:rsidRPr="00E64372">
        <w:rPr>
          <w:rStyle w:val="EndnoteReference"/>
          <w:rFonts w:ascii="Times New Roman" w:hAnsi="Times New Roman" w:cs="Times New Roman"/>
          <w:sz w:val="24"/>
          <w:szCs w:val="24"/>
        </w:rPr>
        <w:endnoteReference w:id="38"/>
      </w:r>
      <w:r w:rsidRPr="00C93B02">
        <w:rPr>
          <w:rFonts w:ascii="Times New Roman" w:hAnsi="Times New Roman" w:cs="Times New Roman"/>
          <w:sz w:val="24"/>
          <w:szCs w:val="24"/>
        </w:rPr>
        <w:t xml:space="preserve">  Even if segregation initially demonstrates favorable drift toward the donor’s </w:t>
      </w:r>
      <w:proofErr w:type="spellStart"/>
      <w:r w:rsidRPr="00C93B02">
        <w:rPr>
          <w:rFonts w:ascii="Times New Roman" w:hAnsi="Times New Roman" w:cs="Times New Roman"/>
          <w:sz w:val="24"/>
          <w:szCs w:val="24"/>
        </w:rPr>
        <w:t>mtDNA</w:t>
      </w:r>
      <w:proofErr w:type="spellEnd"/>
      <w:r w:rsidRPr="00C93B02">
        <w:rPr>
          <w:rFonts w:ascii="Times New Roman" w:hAnsi="Times New Roman" w:cs="Times New Roman"/>
          <w:sz w:val="24"/>
          <w:szCs w:val="24"/>
        </w:rPr>
        <w:t>, these levels may jump unpredictably, or segregate at different levels in tissues throughout the body.</w:t>
      </w:r>
      <w:r w:rsidRPr="00E64372">
        <w:rPr>
          <w:rStyle w:val="EndnoteReference"/>
          <w:rFonts w:ascii="Times New Roman" w:hAnsi="Times New Roman" w:cs="Times New Roman"/>
          <w:sz w:val="24"/>
          <w:szCs w:val="24"/>
        </w:rPr>
        <w:endnoteReference w:id="39"/>
      </w:r>
      <w:r w:rsidRPr="00C93B02">
        <w:rPr>
          <w:rFonts w:ascii="Times New Roman" w:hAnsi="Times New Roman" w:cs="Times New Roman"/>
          <w:sz w:val="24"/>
          <w:szCs w:val="24"/>
        </w:rPr>
        <w:t xml:space="preserve">  </w:t>
      </w:r>
    </w:p>
    <w:p w14:paraId="2B2EFD0A" w14:textId="77777777" w:rsidR="00C93B02" w:rsidRDefault="00D43C16" w:rsidP="00701582">
      <w:pPr>
        <w:pStyle w:val="NoSpacing"/>
        <w:numPr>
          <w:ilvl w:val="3"/>
          <w:numId w:val="32"/>
        </w:numPr>
        <w:rPr>
          <w:rFonts w:ascii="Times New Roman" w:hAnsi="Times New Roman" w:cs="Times New Roman"/>
          <w:sz w:val="24"/>
          <w:szCs w:val="24"/>
        </w:rPr>
      </w:pPr>
      <w:r w:rsidRPr="00C93B02">
        <w:rPr>
          <w:rFonts w:ascii="Times New Roman" w:hAnsi="Times New Roman" w:cs="Times New Roman"/>
          <w:sz w:val="24"/>
          <w:szCs w:val="24"/>
        </w:rPr>
        <w:t xml:space="preserve">Levels of </w:t>
      </w:r>
      <w:proofErr w:type="spellStart"/>
      <w:r w:rsidRPr="00C93B02">
        <w:rPr>
          <w:rFonts w:ascii="Times New Roman" w:hAnsi="Times New Roman" w:cs="Times New Roman"/>
          <w:sz w:val="24"/>
          <w:szCs w:val="24"/>
        </w:rPr>
        <w:t>mtDNA</w:t>
      </w:r>
      <w:proofErr w:type="spellEnd"/>
      <w:r w:rsidRPr="00C93B02">
        <w:rPr>
          <w:rFonts w:ascii="Times New Roman" w:hAnsi="Times New Roman" w:cs="Times New Roman"/>
          <w:sz w:val="24"/>
          <w:szCs w:val="24"/>
        </w:rPr>
        <w:t xml:space="preserve"> in the child’s blood may reflect a low percent of </w:t>
      </w:r>
      <w:proofErr w:type="spellStart"/>
      <w:r w:rsidRPr="00C93B02">
        <w:rPr>
          <w:rFonts w:ascii="Times New Roman" w:hAnsi="Times New Roman" w:cs="Times New Roman"/>
          <w:sz w:val="24"/>
          <w:szCs w:val="24"/>
        </w:rPr>
        <w:t>heteroplasmy</w:t>
      </w:r>
      <w:proofErr w:type="spellEnd"/>
      <w:r w:rsidRPr="00C93B02">
        <w:rPr>
          <w:rFonts w:ascii="Times New Roman" w:hAnsi="Times New Roman" w:cs="Times New Roman"/>
          <w:sz w:val="24"/>
          <w:szCs w:val="24"/>
        </w:rPr>
        <w:t xml:space="preserve">, but genetic drift can cause segregation toward the </w:t>
      </w:r>
      <w:r w:rsidRPr="00C93B02">
        <w:rPr>
          <w:rFonts w:ascii="Times New Roman" w:hAnsi="Times New Roman" w:cs="Times New Roman"/>
          <w:sz w:val="24"/>
          <w:szCs w:val="24"/>
        </w:rPr>
        <w:lastRenderedPageBreak/>
        <w:t xml:space="preserve">mother’s mutated </w:t>
      </w:r>
      <w:proofErr w:type="spellStart"/>
      <w:r w:rsidRPr="00C93B02">
        <w:rPr>
          <w:rFonts w:ascii="Times New Roman" w:hAnsi="Times New Roman" w:cs="Times New Roman"/>
          <w:sz w:val="24"/>
          <w:szCs w:val="24"/>
        </w:rPr>
        <w:t>mtDNA</w:t>
      </w:r>
      <w:proofErr w:type="spellEnd"/>
      <w:r w:rsidRPr="00C93B02">
        <w:rPr>
          <w:rFonts w:ascii="Times New Roman" w:hAnsi="Times New Roman" w:cs="Times New Roman"/>
          <w:sz w:val="24"/>
          <w:szCs w:val="24"/>
        </w:rPr>
        <w:t xml:space="preserve"> in specific tissues or organs, wherein the child may experience diseases arising in those systems.</w:t>
      </w:r>
      <w:r w:rsidRPr="00E64372">
        <w:rPr>
          <w:rStyle w:val="EndnoteReference"/>
          <w:rFonts w:ascii="Times New Roman" w:hAnsi="Times New Roman" w:cs="Times New Roman"/>
          <w:sz w:val="24"/>
          <w:szCs w:val="24"/>
        </w:rPr>
        <w:endnoteReference w:id="40"/>
      </w:r>
      <w:r w:rsidRPr="00C93B02">
        <w:rPr>
          <w:rFonts w:ascii="Times New Roman" w:hAnsi="Times New Roman" w:cs="Times New Roman"/>
          <w:sz w:val="24"/>
          <w:szCs w:val="24"/>
        </w:rPr>
        <w:t xml:space="preserve">  </w:t>
      </w:r>
    </w:p>
    <w:p w14:paraId="23BAE01E" w14:textId="77777777" w:rsidR="00C93B02" w:rsidRDefault="00D43C16" w:rsidP="00701582">
      <w:pPr>
        <w:pStyle w:val="NoSpacing"/>
        <w:numPr>
          <w:ilvl w:val="3"/>
          <w:numId w:val="32"/>
        </w:numPr>
        <w:rPr>
          <w:rFonts w:ascii="Times New Roman" w:hAnsi="Times New Roman" w:cs="Times New Roman"/>
          <w:sz w:val="24"/>
          <w:szCs w:val="24"/>
        </w:rPr>
      </w:pPr>
      <w:r w:rsidRPr="00C93B02">
        <w:rPr>
          <w:rFonts w:ascii="Times New Roman" w:hAnsi="Times New Roman" w:cs="Times New Roman"/>
          <w:sz w:val="24"/>
          <w:szCs w:val="24"/>
        </w:rPr>
        <w:t xml:space="preserve">Segregation occurs throughout the lifespan of the individual which means low levels of the mother’s </w:t>
      </w:r>
      <w:proofErr w:type="spellStart"/>
      <w:r w:rsidRPr="00C93B02">
        <w:rPr>
          <w:rFonts w:ascii="Times New Roman" w:hAnsi="Times New Roman" w:cs="Times New Roman"/>
          <w:sz w:val="24"/>
          <w:szCs w:val="24"/>
        </w:rPr>
        <w:t>mtDNA</w:t>
      </w:r>
      <w:proofErr w:type="spellEnd"/>
      <w:r w:rsidRPr="00C93B02">
        <w:rPr>
          <w:rFonts w:ascii="Times New Roman" w:hAnsi="Times New Roman" w:cs="Times New Roman"/>
          <w:sz w:val="24"/>
          <w:szCs w:val="24"/>
        </w:rPr>
        <w:t xml:space="preserve"> in the child’s blood or partial tissue testing would also not reflect the possibility of increasing levels of </w:t>
      </w:r>
      <w:proofErr w:type="spellStart"/>
      <w:r w:rsidRPr="00C93B02">
        <w:rPr>
          <w:rFonts w:ascii="Times New Roman" w:hAnsi="Times New Roman" w:cs="Times New Roman"/>
          <w:sz w:val="24"/>
          <w:szCs w:val="24"/>
        </w:rPr>
        <w:t>heteroplasmy</w:t>
      </w:r>
      <w:proofErr w:type="spellEnd"/>
      <w:r w:rsidRPr="00C93B02">
        <w:rPr>
          <w:rFonts w:ascii="Times New Roman" w:hAnsi="Times New Roman" w:cs="Times New Roman"/>
          <w:sz w:val="24"/>
          <w:szCs w:val="24"/>
        </w:rPr>
        <w:t xml:space="preserve"> later in life resulting in latent presentation of mitochondrial disease.</w:t>
      </w:r>
      <w:r w:rsidRPr="00E64372">
        <w:rPr>
          <w:rStyle w:val="EndnoteReference"/>
          <w:rFonts w:ascii="Times New Roman" w:hAnsi="Times New Roman" w:cs="Times New Roman"/>
          <w:sz w:val="24"/>
          <w:szCs w:val="24"/>
        </w:rPr>
        <w:endnoteReference w:id="41"/>
      </w:r>
      <w:r w:rsidRPr="00C93B02">
        <w:rPr>
          <w:rFonts w:ascii="Times New Roman" w:hAnsi="Times New Roman" w:cs="Times New Roman"/>
          <w:sz w:val="24"/>
          <w:szCs w:val="24"/>
        </w:rPr>
        <w:t xml:space="preserve">  </w:t>
      </w:r>
    </w:p>
    <w:p w14:paraId="51E2A5C8" w14:textId="77777777" w:rsidR="00C93B02" w:rsidRDefault="00C93B02" w:rsidP="00C93B02">
      <w:pPr>
        <w:pStyle w:val="NoSpacing"/>
        <w:ind w:left="2520"/>
        <w:rPr>
          <w:rFonts w:ascii="Times New Roman" w:hAnsi="Times New Roman" w:cs="Times New Roman"/>
          <w:sz w:val="24"/>
          <w:szCs w:val="24"/>
        </w:rPr>
      </w:pPr>
    </w:p>
    <w:p w14:paraId="0649E6BF" w14:textId="77777777" w:rsidR="00C93B02" w:rsidRDefault="008319F0" w:rsidP="00701582">
      <w:pPr>
        <w:pStyle w:val="NoSpacing"/>
        <w:numPr>
          <w:ilvl w:val="2"/>
          <w:numId w:val="32"/>
        </w:numPr>
        <w:rPr>
          <w:rFonts w:ascii="Times New Roman" w:hAnsi="Times New Roman" w:cs="Times New Roman"/>
          <w:sz w:val="24"/>
          <w:szCs w:val="24"/>
        </w:rPr>
      </w:pPr>
      <w:r w:rsidRPr="00C93B02">
        <w:rPr>
          <w:rFonts w:ascii="Times New Roman" w:hAnsi="Times New Roman" w:cs="Times New Roman"/>
          <w:b/>
          <w:sz w:val="24"/>
          <w:szCs w:val="24"/>
        </w:rPr>
        <w:t xml:space="preserve">There are </w:t>
      </w:r>
      <w:r w:rsidR="008E3D70" w:rsidRPr="00C93B02">
        <w:rPr>
          <w:rFonts w:ascii="Times New Roman" w:hAnsi="Times New Roman" w:cs="Times New Roman"/>
          <w:b/>
          <w:sz w:val="24"/>
          <w:szCs w:val="24"/>
        </w:rPr>
        <w:t xml:space="preserve">serious health </w:t>
      </w:r>
      <w:r w:rsidR="00411E24" w:rsidRPr="00C93B02">
        <w:rPr>
          <w:rFonts w:ascii="Times New Roman" w:hAnsi="Times New Roman" w:cs="Times New Roman"/>
          <w:b/>
          <w:sz w:val="24"/>
          <w:szCs w:val="24"/>
        </w:rPr>
        <w:t>r</w:t>
      </w:r>
      <w:r w:rsidR="008E3D70" w:rsidRPr="00C93B02">
        <w:rPr>
          <w:rFonts w:ascii="Times New Roman" w:hAnsi="Times New Roman" w:cs="Times New Roman"/>
          <w:b/>
          <w:sz w:val="24"/>
          <w:szCs w:val="24"/>
        </w:rPr>
        <w:t>isks involving in</w:t>
      </w:r>
      <w:r w:rsidR="003C2137" w:rsidRPr="00C93B02">
        <w:rPr>
          <w:rFonts w:ascii="Times New Roman" w:hAnsi="Times New Roman" w:cs="Times New Roman"/>
          <w:b/>
          <w:sz w:val="24"/>
          <w:szCs w:val="24"/>
        </w:rPr>
        <w:t xml:space="preserve"> </w:t>
      </w:r>
      <w:r w:rsidR="00411E24" w:rsidRPr="00C93B02">
        <w:rPr>
          <w:rFonts w:ascii="Times New Roman" w:hAnsi="Times New Roman" w:cs="Times New Roman"/>
          <w:b/>
          <w:sz w:val="24"/>
          <w:szCs w:val="24"/>
        </w:rPr>
        <w:t>d</w:t>
      </w:r>
      <w:r w:rsidR="003C2137" w:rsidRPr="00C93B02">
        <w:rPr>
          <w:rFonts w:ascii="Times New Roman" w:hAnsi="Times New Roman" w:cs="Times New Roman"/>
          <w:b/>
          <w:sz w:val="24"/>
          <w:szCs w:val="24"/>
        </w:rPr>
        <w:t>isrupting Mitochondrial DNA</w:t>
      </w:r>
      <w:r w:rsidR="008E3D70" w:rsidRPr="00C93B02">
        <w:rPr>
          <w:rFonts w:ascii="Times New Roman" w:hAnsi="Times New Roman" w:cs="Times New Roman"/>
          <w:b/>
          <w:sz w:val="24"/>
          <w:szCs w:val="24"/>
        </w:rPr>
        <w:t>.</w:t>
      </w:r>
      <w:r w:rsidR="003C2137" w:rsidRPr="00C93B02">
        <w:rPr>
          <w:rFonts w:ascii="Times New Roman" w:hAnsi="Times New Roman" w:cs="Times New Roman"/>
          <w:b/>
          <w:sz w:val="24"/>
          <w:szCs w:val="24"/>
        </w:rPr>
        <w:t xml:space="preserve"> </w:t>
      </w:r>
    </w:p>
    <w:p w14:paraId="327993ED" w14:textId="77777777" w:rsidR="00C93B02" w:rsidRDefault="008319F0" w:rsidP="00701582">
      <w:pPr>
        <w:pStyle w:val="NoSpacing"/>
        <w:numPr>
          <w:ilvl w:val="3"/>
          <w:numId w:val="32"/>
        </w:numPr>
        <w:rPr>
          <w:rFonts w:ascii="Times New Roman" w:hAnsi="Times New Roman" w:cs="Times New Roman"/>
          <w:sz w:val="24"/>
          <w:szCs w:val="24"/>
        </w:rPr>
      </w:pPr>
      <w:r w:rsidRPr="00C93B02">
        <w:rPr>
          <w:rFonts w:ascii="Times New Roman" w:hAnsi="Times New Roman" w:cs="Times New Roman"/>
          <w:sz w:val="24"/>
          <w:szCs w:val="24"/>
        </w:rPr>
        <w:t xml:space="preserve">Some scientific evidence suggests that segregation appears affected by genetic distance between haplotypes and when haplotypes of maternal </w:t>
      </w:r>
      <w:proofErr w:type="spellStart"/>
      <w:r w:rsidRPr="00C93B02">
        <w:rPr>
          <w:rFonts w:ascii="Times New Roman" w:hAnsi="Times New Roman" w:cs="Times New Roman"/>
          <w:sz w:val="24"/>
          <w:szCs w:val="24"/>
        </w:rPr>
        <w:t>mtDNA</w:t>
      </w:r>
      <w:proofErr w:type="spellEnd"/>
      <w:r w:rsidRPr="00C93B02">
        <w:rPr>
          <w:rFonts w:ascii="Times New Roman" w:hAnsi="Times New Roman" w:cs="Times New Roman"/>
          <w:sz w:val="24"/>
          <w:szCs w:val="24"/>
        </w:rPr>
        <w:t xml:space="preserve"> and donor </w:t>
      </w:r>
      <w:proofErr w:type="spellStart"/>
      <w:r w:rsidRPr="00C93B02">
        <w:rPr>
          <w:rFonts w:ascii="Times New Roman" w:hAnsi="Times New Roman" w:cs="Times New Roman"/>
          <w:sz w:val="24"/>
          <w:szCs w:val="24"/>
        </w:rPr>
        <w:t>mtDNA</w:t>
      </w:r>
      <w:proofErr w:type="spellEnd"/>
      <w:r w:rsidRPr="00C93B02">
        <w:rPr>
          <w:rFonts w:ascii="Times New Roman" w:hAnsi="Times New Roman" w:cs="Times New Roman"/>
          <w:sz w:val="24"/>
          <w:szCs w:val="24"/>
        </w:rPr>
        <w:t xml:space="preserve"> are mixed, reversion toward maternal </w:t>
      </w:r>
      <w:proofErr w:type="spellStart"/>
      <w:r w:rsidRPr="00C93B02">
        <w:rPr>
          <w:rFonts w:ascii="Times New Roman" w:hAnsi="Times New Roman" w:cs="Times New Roman"/>
          <w:sz w:val="24"/>
          <w:szCs w:val="24"/>
        </w:rPr>
        <w:t>mtDNA</w:t>
      </w:r>
      <w:proofErr w:type="spellEnd"/>
      <w:r w:rsidRPr="00C93B02">
        <w:rPr>
          <w:rFonts w:ascii="Times New Roman" w:hAnsi="Times New Roman" w:cs="Times New Roman"/>
          <w:sz w:val="24"/>
          <w:szCs w:val="24"/>
        </w:rPr>
        <w:t xml:space="preserve"> occurs.</w:t>
      </w:r>
      <w:r w:rsidRPr="00E64372">
        <w:rPr>
          <w:rStyle w:val="EndnoteReference"/>
          <w:rFonts w:ascii="Times New Roman" w:hAnsi="Times New Roman" w:cs="Times New Roman"/>
          <w:sz w:val="24"/>
          <w:szCs w:val="24"/>
        </w:rPr>
        <w:endnoteReference w:id="42"/>
      </w:r>
      <w:r w:rsidRPr="00C93B02">
        <w:rPr>
          <w:rFonts w:ascii="Times New Roman" w:hAnsi="Times New Roman" w:cs="Times New Roman"/>
          <w:sz w:val="24"/>
          <w:szCs w:val="24"/>
        </w:rPr>
        <w:t xml:space="preserve">  </w:t>
      </w:r>
    </w:p>
    <w:p w14:paraId="66EA9B6A" w14:textId="77777777" w:rsidR="00C93B02" w:rsidRDefault="008319F0" w:rsidP="00701582">
      <w:pPr>
        <w:pStyle w:val="NoSpacing"/>
        <w:numPr>
          <w:ilvl w:val="3"/>
          <w:numId w:val="32"/>
        </w:numPr>
        <w:rPr>
          <w:rFonts w:ascii="Times New Roman" w:hAnsi="Times New Roman" w:cs="Times New Roman"/>
          <w:sz w:val="24"/>
          <w:szCs w:val="24"/>
        </w:rPr>
      </w:pPr>
      <w:r w:rsidRPr="00C93B02">
        <w:rPr>
          <w:rFonts w:ascii="Times New Roman" w:hAnsi="Times New Roman" w:cs="Times New Roman"/>
          <w:sz w:val="24"/>
          <w:szCs w:val="24"/>
        </w:rPr>
        <w:t xml:space="preserve">In animal models, mixed </w:t>
      </w:r>
      <w:proofErr w:type="spellStart"/>
      <w:r w:rsidRPr="00C93B02">
        <w:rPr>
          <w:rFonts w:ascii="Times New Roman" w:hAnsi="Times New Roman" w:cs="Times New Roman"/>
          <w:sz w:val="24"/>
          <w:szCs w:val="24"/>
        </w:rPr>
        <w:t>mtDNA</w:t>
      </w:r>
      <w:proofErr w:type="spellEnd"/>
      <w:r w:rsidRPr="00C93B02">
        <w:rPr>
          <w:rFonts w:ascii="Times New Roman" w:hAnsi="Times New Roman" w:cs="Times New Roman"/>
          <w:sz w:val="24"/>
          <w:szCs w:val="24"/>
        </w:rPr>
        <w:t xml:space="preserve"> has resulted in immune rejection, susceptibility to diseases of metabolism, and deficits in performance and learning capabilities.</w:t>
      </w:r>
      <w:r w:rsidRPr="00E64372">
        <w:rPr>
          <w:rStyle w:val="EndnoteReference"/>
          <w:rFonts w:ascii="Times New Roman" w:hAnsi="Times New Roman" w:cs="Times New Roman"/>
          <w:sz w:val="24"/>
          <w:szCs w:val="24"/>
        </w:rPr>
        <w:endnoteReference w:id="43"/>
      </w:r>
    </w:p>
    <w:p w14:paraId="69DFF5AB" w14:textId="77777777" w:rsidR="00C93B02" w:rsidRDefault="00D43C16" w:rsidP="00701582">
      <w:pPr>
        <w:pStyle w:val="NoSpacing"/>
        <w:numPr>
          <w:ilvl w:val="3"/>
          <w:numId w:val="32"/>
        </w:numPr>
        <w:rPr>
          <w:rFonts w:ascii="Times New Roman" w:hAnsi="Times New Roman" w:cs="Times New Roman"/>
          <w:sz w:val="24"/>
          <w:szCs w:val="24"/>
        </w:rPr>
      </w:pPr>
      <w:r w:rsidRPr="00C93B02">
        <w:rPr>
          <w:rFonts w:ascii="Times New Roman" w:hAnsi="Times New Roman" w:cs="Times New Roman"/>
          <w:sz w:val="24"/>
          <w:szCs w:val="24"/>
        </w:rPr>
        <w:t xml:space="preserve">MRT would disrupt crucial </w:t>
      </w:r>
      <w:proofErr w:type="gramStart"/>
      <w:r w:rsidRPr="00C93B02">
        <w:rPr>
          <w:rFonts w:ascii="Times New Roman" w:hAnsi="Times New Roman" w:cs="Times New Roman"/>
          <w:sz w:val="24"/>
          <w:szCs w:val="24"/>
        </w:rPr>
        <w:t>cross-talk</w:t>
      </w:r>
      <w:proofErr w:type="gramEnd"/>
      <w:r w:rsidRPr="00C93B02">
        <w:rPr>
          <w:rFonts w:ascii="Times New Roman" w:hAnsi="Times New Roman" w:cs="Times New Roman"/>
          <w:sz w:val="24"/>
          <w:szCs w:val="24"/>
        </w:rPr>
        <w:t xml:space="preserve"> between </w:t>
      </w:r>
      <w:proofErr w:type="spellStart"/>
      <w:r w:rsidRPr="00C93B02">
        <w:rPr>
          <w:rFonts w:ascii="Times New Roman" w:hAnsi="Times New Roman" w:cs="Times New Roman"/>
          <w:sz w:val="24"/>
          <w:szCs w:val="24"/>
        </w:rPr>
        <w:t>mtDNA</w:t>
      </w:r>
      <w:proofErr w:type="spellEnd"/>
      <w:r w:rsidRPr="00C93B02">
        <w:rPr>
          <w:rFonts w:ascii="Times New Roman" w:hAnsi="Times New Roman" w:cs="Times New Roman"/>
          <w:sz w:val="24"/>
          <w:szCs w:val="24"/>
        </w:rPr>
        <w:t xml:space="preserve"> and </w:t>
      </w:r>
      <w:proofErr w:type="spellStart"/>
      <w:r w:rsidRPr="00C93B02">
        <w:rPr>
          <w:rFonts w:ascii="Times New Roman" w:hAnsi="Times New Roman" w:cs="Times New Roman"/>
          <w:sz w:val="24"/>
          <w:szCs w:val="24"/>
        </w:rPr>
        <w:t>nDNA</w:t>
      </w:r>
      <w:proofErr w:type="spellEnd"/>
      <w:r w:rsidRPr="00C93B02">
        <w:rPr>
          <w:rFonts w:ascii="Times New Roman" w:hAnsi="Times New Roman" w:cs="Times New Roman"/>
          <w:sz w:val="24"/>
          <w:szCs w:val="24"/>
        </w:rPr>
        <w:t xml:space="preserve">. Mitochondrial DNA not only functions as a source of </w:t>
      </w:r>
      <w:proofErr w:type="gramStart"/>
      <w:r w:rsidRPr="00C93B02">
        <w:rPr>
          <w:rFonts w:ascii="Times New Roman" w:hAnsi="Times New Roman" w:cs="Times New Roman"/>
          <w:sz w:val="24"/>
          <w:szCs w:val="24"/>
        </w:rPr>
        <w:t>energy, but</w:t>
      </w:r>
      <w:proofErr w:type="gramEnd"/>
      <w:r w:rsidRPr="00C93B02">
        <w:rPr>
          <w:rFonts w:ascii="Times New Roman" w:hAnsi="Times New Roman" w:cs="Times New Roman"/>
          <w:sz w:val="24"/>
          <w:szCs w:val="24"/>
        </w:rPr>
        <w:t xml:space="preserve"> affects a wide range of cellular functioning and how </w:t>
      </w:r>
      <w:proofErr w:type="spellStart"/>
      <w:r w:rsidRPr="00C93B02">
        <w:rPr>
          <w:rFonts w:ascii="Times New Roman" w:hAnsi="Times New Roman" w:cs="Times New Roman"/>
          <w:sz w:val="24"/>
          <w:szCs w:val="24"/>
        </w:rPr>
        <w:t>nDNA</w:t>
      </w:r>
      <w:proofErr w:type="spellEnd"/>
      <w:r w:rsidRPr="00C93B02">
        <w:rPr>
          <w:rFonts w:ascii="Times New Roman" w:hAnsi="Times New Roman" w:cs="Times New Roman"/>
          <w:sz w:val="24"/>
          <w:szCs w:val="24"/>
        </w:rPr>
        <w:t xml:space="preserve"> is expressed.</w:t>
      </w:r>
      <w:r w:rsidRPr="00E64372">
        <w:rPr>
          <w:rStyle w:val="EndnoteReference"/>
          <w:rFonts w:ascii="Times New Roman" w:hAnsi="Times New Roman" w:cs="Times New Roman"/>
          <w:sz w:val="24"/>
          <w:szCs w:val="24"/>
        </w:rPr>
        <w:endnoteReference w:id="44"/>
      </w:r>
      <w:r w:rsidRPr="00C93B02">
        <w:rPr>
          <w:rFonts w:ascii="Times New Roman" w:hAnsi="Times New Roman" w:cs="Times New Roman"/>
          <w:sz w:val="24"/>
          <w:szCs w:val="24"/>
        </w:rPr>
        <w:t xml:space="preserve">  </w:t>
      </w:r>
    </w:p>
    <w:p w14:paraId="146B9512" w14:textId="77777777" w:rsidR="00C93B02" w:rsidRDefault="00D43C16" w:rsidP="00701582">
      <w:pPr>
        <w:pStyle w:val="NoSpacing"/>
        <w:numPr>
          <w:ilvl w:val="3"/>
          <w:numId w:val="32"/>
        </w:numPr>
        <w:rPr>
          <w:rFonts w:ascii="Times New Roman" w:hAnsi="Times New Roman" w:cs="Times New Roman"/>
          <w:sz w:val="24"/>
          <w:szCs w:val="24"/>
        </w:rPr>
      </w:pPr>
      <w:r w:rsidRPr="00C93B02">
        <w:rPr>
          <w:rFonts w:ascii="Times New Roman" w:hAnsi="Times New Roman" w:cs="Times New Roman"/>
          <w:sz w:val="24"/>
          <w:szCs w:val="24"/>
        </w:rPr>
        <w:t xml:space="preserve">Current research suggests interference in the communication between </w:t>
      </w:r>
      <w:proofErr w:type="spellStart"/>
      <w:r w:rsidRPr="00C93B02">
        <w:rPr>
          <w:rFonts w:ascii="Times New Roman" w:hAnsi="Times New Roman" w:cs="Times New Roman"/>
          <w:sz w:val="24"/>
          <w:szCs w:val="24"/>
        </w:rPr>
        <w:t>mtDNA</w:t>
      </w:r>
      <w:proofErr w:type="spellEnd"/>
      <w:r w:rsidRPr="00C93B02">
        <w:rPr>
          <w:rFonts w:ascii="Times New Roman" w:hAnsi="Times New Roman" w:cs="Times New Roman"/>
          <w:sz w:val="24"/>
          <w:szCs w:val="24"/>
        </w:rPr>
        <w:t xml:space="preserve"> and </w:t>
      </w:r>
      <w:proofErr w:type="spellStart"/>
      <w:r w:rsidRPr="00C93B02">
        <w:rPr>
          <w:rFonts w:ascii="Times New Roman" w:hAnsi="Times New Roman" w:cs="Times New Roman"/>
          <w:sz w:val="24"/>
          <w:szCs w:val="24"/>
        </w:rPr>
        <w:t>nDNA</w:t>
      </w:r>
      <w:proofErr w:type="spellEnd"/>
      <w:r w:rsidRPr="00C93B02">
        <w:rPr>
          <w:rFonts w:ascii="Times New Roman" w:hAnsi="Times New Roman" w:cs="Times New Roman"/>
          <w:sz w:val="24"/>
          <w:szCs w:val="24"/>
        </w:rPr>
        <w:t xml:space="preserve"> can negatively affect individual development, behavior, susceptibility to disease, and fertility.</w:t>
      </w:r>
      <w:r w:rsidRPr="00E64372">
        <w:rPr>
          <w:rStyle w:val="EndnoteReference"/>
          <w:rFonts w:ascii="Times New Roman" w:hAnsi="Times New Roman" w:cs="Times New Roman"/>
          <w:sz w:val="24"/>
          <w:szCs w:val="24"/>
        </w:rPr>
        <w:endnoteReference w:id="45"/>
      </w:r>
      <w:r w:rsidRPr="00C93B02">
        <w:rPr>
          <w:rFonts w:ascii="Times New Roman" w:hAnsi="Times New Roman" w:cs="Times New Roman"/>
          <w:sz w:val="24"/>
          <w:szCs w:val="24"/>
        </w:rPr>
        <w:t xml:space="preserve">  </w:t>
      </w:r>
    </w:p>
    <w:p w14:paraId="32F8484B" w14:textId="77777777" w:rsidR="00C93B02" w:rsidRDefault="00C93B02" w:rsidP="00455B8A">
      <w:pPr>
        <w:pStyle w:val="NoSpacing"/>
        <w:ind w:left="2520"/>
        <w:rPr>
          <w:rFonts w:ascii="Times New Roman" w:hAnsi="Times New Roman" w:cs="Times New Roman"/>
          <w:sz w:val="24"/>
          <w:szCs w:val="24"/>
        </w:rPr>
      </w:pPr>
    </w:p>
    <w:p w14:paraId="0844991B" w14:textId="77777777" w:rsidR="00C93B02" w:rsidRDefault="00411E24" w:rsidP="00701582">
      <w:pPr>
        <w:pStyle w:val="NoSpacing"/>
        <w:numPr>
          <w:ilvl w:val="2"/>
          <w:numId w:val="32"/>
        </w:numPr>
        <w:rPr>
          <w:rFonts w:ascii="Times New Roman" w:hAnsi="Times New Roman" w:cs="Times New Roman"/>
          <w:sz w:val="24"/>
          <w:szCs w:val="24"/>
        </w:rPr>
      </w:pPr>
      <w:r w:rsidRPr="00C93B02">
        <w:rPr>
          <w:rFonts w:ascii="Times New Roman" w:hAnsi="Times New Roman" w:cs="Times New Roman"/>
          <w:b/>
          <w:sz w:val="24"/>
          <w:szCs w:val="24"/>
        </w:rPr>
        <w:t>A l</w:t>
      </w:r>
      <w:r w:rsidR="003C2137" w:rsidRPr="00C93B02">
        <w:rPr>
          <w:rFonts w:ascii="Times New Roman" w:hAnsi="Times New Roman" w:cs="Times New Roman"/>
          <w:b/>
          <w:sz w:val="24"/>
          <w:szCs w:val="24"/>
        </w:rPr>
        <w:t xml:space="preserve">ive </w:t>
      </w:r>
      <w:r w:rsidRPr="00C93B02">
        <w:rPr>
          <w:rFonts w:ascii="Times New Roman" w:hAnsi="Times New Roman" w:cs="Times New Roman"/>
          <w:b/>
          <w:sz w:val="24"/>
          <w:szCs w:val="24"/>
        </w:rPr>
        <w:t>birth d</w:t>
      </w:r>
      <w:r w:rsidR="003C2137" w:rsidRPr="00C93B02">
        <w:rPr>
          <w:rFonts w:ascii="Times New Roman" w:hAnsi="Times New Roman" w:cs="Times New Roman"/>
          <w:b/>
          <w:sz w:val="24"/>
          <w:szCs w:val="24"/>
        </w:rPr>
        <w:t>oes</w:t>
      </w:r>
      <w:r w:rsidRPr="00C93B02">
        <w:rPr>
          <w:rFonts w:ascii="Times New Roman" w:hAnsi="Times New Roman" w:cs="Times New Roman"/>
          <w:b/>
          <w:sz w:val="24"/>
          <w:szCs w:val="24"/>
        </w:rPr>
        <w:t xml:space="preserve"> not equate to a healthy c</w:t>
      </w:r>
      <w:r w:rsidR="003C2137" w:rsidRPr="00C93B02">
        <w:rPr>
          <w:rFonts w:ascii="Times New Roman" w:hAnsi="Times New Roman" w:cs="Times New Roman"/>
          <w:b/>
          <w:sz w:val="24"/>
          <w:szCs w:val="24"/>
        </w:rPr>
        <w:t>hild</w:t>
      </w:r>
      <w:r w:rsidR="008E3D70" w:rsidRPr="00C93B02">
        <w:rPr>
          <w:rFonts w:ascii="Times New Roman" w:hAnsi="Times New Roman" w:cs="Times New Roman"/>
          <w:b/>
          <w:sz w:val="24"/>
          <w:szCs w:val="24"/>
        </w:rPr>
        <w:t>.</w:t>
      </w:r>
    </w:p>
    <w:p w14:paraId="3B5D41E7" w14:textId="77777777" w:rsidR="00C93B02" w:rsidRDefault="00D43C16" w:rsidP="00701582">
      <w:pPr>
        <w:pStyle w:val="NoSpacing"/>
        <w:numPr>
          <w:ilvl w:val="3"/>
          <w:numId w:val="32"/>
        </w:numPr>
        <w:rPr>
          <w:rFonts w:ascii="Times New Roman" w:hAnsi="Times New Roman" w:cs="Times New Roman"/>
          <w:sz w:val="24"/>
          <w:szCs w:val="24"/>
        </w:rPr>
      </w:pPr>
      <w:r w:rsidRPr="00C93B02">
        <w:rPr>
          <w:rFonts w:ascii="Times New Roman" w:hAnsi="Times New Roman" w:cs="Times New Roman"/>
          <w:sz w:val="24"/>
          <w:szCs w:val="24"/>
        </w:rPr>
        <w:t>Initial positive results (or even a live birth) in Animal and In Vitro Models does not mean hum</w:t>
      </w:r>
      <w:r w:rsidR="00C93B02">
        <w:rPr>
          <w:rFonts w:ascii="Times New Roman" w:hAnsi="Times New Roman" w:cs="Times New Roman"/>
          <w:sz w:val="24"/>
          <w:szCs w:val="24"/>
        </w:rPr>
        <w:t>an offspring would be “healthy.”</w:t>
      </w:r>
      <w:r w:rsidRPr="00C93B02">
        <w:rPr>
          <w:rFonts w:ascii="Times New Roman" w:hAnsi="Times New Roman" w:cs="Times New Roman"/>
          <w:sz w:val="24"/>
          <w:szCs w:val="24"/>
        </w:rPr>
        <w:t xml:space="preserve"> </w:t>
      </w:r>
    </w:p>
    <w:p w14:paraId="779AD22D" w14:textId="77777777" w:rsidR="00C93B02" w:rsidRDefault="00C93B02" w:rsidP="00701582">
      <w:pPr>
        <w:pStyle w:val="NoSpacing"/>
        <w:numPr>
          <w:ilvl w:val="3"/>
          <w:numId w:val="32"/>
        </w:numPr>
        <w:rPr>
          <w:rFonts w:ascii="Times New Roman" w:hAnsi="Times New Roman" w:cs="Times New Roman"/>
          <w:sz w:val="24"/>
          <w:szCs w:val="24"/>
        </w:rPr>
      </w:pPr>
      <w:r>
        <w:rPr>
          <w:rFonts w:ascii="Times New Roman" w:hAnsi="Times New Roman" w:cs="Times New Roman"/>
          <w:sz w:val="24"/>
          <w:szCs w:val="24"/>
        </w:rPr>
        <w:t>Some</w:t>
      </w:r>
      <w:r w:rsidR="00D43C16" w:rsidRPr="00C93B02">
        <w:rPr>
          <w:rFonts w:ascii="Times New Roman" w:hAnsi="Times New Roman" w:cs="Times New Roman"/>
          <w:sz w:val="24"/>
          <w:szCs w:val="24"/>
        </w:rPr>
        <w:t xml:space="preserve"> studies relied on a small sample and may miss problems that would arise with a larger sample; they did not perform extensive testing for </w:t>
      </w:r>
      <w:proofErr w:type="spellStart"/>
      <w:r w:rsidR="00D43C16" w:rsidRPr="00C93B02">
        <w:rPr>
          <w:rFonts w:ascii="Times New Roman" w:hAnsi="Times New Roman" w:cs="Times New Roman"/>
          <w:sz w:val="24"/>
          <w:szCs w:val="24"/>
        </w:rPr>
        <w:t>heteroplasmy</w:t>
      </w:r>
      <w:proofErr w:type="spellEnd"/>
      <w:r w:rsidR="00D43C16" w:rsidRPr="00C93B02">
        <w:rPr>
          <w:rFonts w:ascii="Times New Roman" w:hAnsi="Times New Roman" w:cs="Times New Roman"/>
          <w:sz w:val="24"/>
          <w:szCs w:val="24"/>
        </w:rPr>
        <w:t xml:space="preserve"> throughout tissues; the studies did not test germ cells for </w:t>
      </w:r>
      <w:proofErr w:type="spellStart"/>
      <w:r w:rsidR="00D43C16" w:rsidRPr="00C93B02">
        <w:rPr>
          <w:rFonts w:ascii="Times New Roman" w:hAnsi="Times New Roman" w:cs="Times New Roman"/>
          <w:sz w:val="24"/>
          <w:szCs w:val="24"/>
        </w:rPr>
        <w:t>heteroplasmy</w:t>
      </w:r>
      <w:proofErr w:type="spellEnd"/>
      <w:r w:rsidR="00D43C16" w:rsidRPr="00C93B02">
        <w:rPr>
          <w:rFonts w:ascii="Times New Roman" w:hAnsi="Times New Roman" w:cs="Times New Roman"/>
          <w:sz w:val="24"/>
          <w:szCs w:val="24"/>
        </w:rPr>
        <w:t xml:space="preserve"> or assess the health of subsequent generations; and using sample tests for </w:t>
      </w:r>
      <w:proofErr w:type="spellStart"/>
      <w:r w:rsidR="00D43C16" w:rsidRPr="00C93B02">
        <w:rPr>
          <w:rFonts w:ascii="Times New Roman" w:hAnsi="Times New Roman" w:cs="Times New Roman"/>
          <w:sz w:val="24"/>
          <w:szCs w:val="24"/>
        </w:rPr>
        <w:t>heteroplasmy</w:t>
      </w:r>
      <w:proofErr w:type="spellEnd"/>
      <w:r w:rsidR="00D43C16" w:rsidRPr="00C93B02">
        <w:rPr>
          <w:rFonts w:ascii="Times New Roman" w:hAnsi="Times New Roman" w:cs="Times New Roman"/>
          <w:sz w:val="24"/>
          <w:szCs w:val="24"/>
        </w:rPr>
        <w:t xml:space="preserve"> as a proxy for health may miss other dysfunction.</w:t>
      </w:r>
      <w:r w:rsidR="00D43C16" w:rsidRPr="00E64372">
        <w:rPr>
          <w:rStyle w:val="EndnoteReference"/>
          <w:rFonts w:ascii="Times New Roman" w:hAnsi="Times New Roman" w:cs="Times New Roman"/>
          <w:sz w:val="24"/>
          <w:szCs w:val="24"/>
        </w:rPr>
        <w:endnoteReference w:id="46"/>
      </w:r>
    </w:p>
    <w:p w14:paraId="31A74182" w14:textId="77777777" w:rsidR="00C93B02" w:rsidRDefault="00C93B02" w:rsidP="00C93B02">
      <w:pPr>
        <w:pStyle w:val="NoSpacing"/>
        <w:ind w:left="2520"/>
        <w:rPr>
          <w:rFonts w:ascii="Times New Roman" w:hAnsi="Times New Roman" w:cs="Times New Roman"/>
          <w:sz w:val="24"/>
          <w:szCs w:val="24"/>
        </w:rPr>
      </w:pPr>
    </w:p>
    <w:p w14:paraId="014561EA" w14:textId="77777777" w:rsidR="00C93B02" w:rsidRDefault="00C93B02" w:rsidP="00C93B02">
      <w:pPr>
        <w:pStyle w:val="NoSpacing"/>
        <w:ind w:left="1800"/>
        <w:rPr>
          <w:rFonts w:ascii="Times New Roman" w:hAnsi="Times New Roman" w:cs="Times New Roman"/>
          <w:sz w:val="24"/>
          <w:szCs w:val="24"/>
        </w:rPr>
      </w:pPr>
    </w:p>
    <w:p w14:paraId="7CC0A635" w14:textId="77777777" w:rsidR="00C93B02" w:rsidRDefault="003C2137" w:rsidP="00701582">
      <w:pPr>
        <w:pStyle w:val="NoSpacing"/>
        <w:numPr>
          <w:ilvl w:val="1"/>
          <w:numId w:val="32"/>
        </w:numPr>
        <w:rPr>
          <w:rFonts w:ascii="Times New Roman" w:hAnsi="Times New Roman" w:cs="Times New Roman"/>
          <w:sz w:val="24"/>
          <w:szCs w:val="24"/>
        </w:rPr>
      </w:pPr>
      <w:r w:rsidRPr="00C93B02">
        <w:rPr>
          <w:rFonts w:ascii="Times New Roman" w:hAnsi="Times New Roman" w:cs="Times New Roman"/>
          <w:sz w:val="24"/>
          <w:szCs w:val="24"/>
          <w:u w:val="single"/>
        </w:rPr>
        <w:t>Risks of Human Genome Editing Human Embryos</w:t>
      </w:r>
    </w:p>
    <w:p w14:paraId="3571DE72" w14:textId="77777777" w:rsidR="00C93B02" w:rsidRDefault="00C93B02" w:rsidP="00C93B02">
      <w:pPr>
        <w:pStyle w:val="NoSpacing"/>
        <w:ind w:left="1080"/>
        <w:rPr>
          <w:rFonts w:ascii="Times New Roman" w:hAnsi="Times New Roman" w:cs="Times New Roman"/>
          <w:sz w:val="24"/>
          <w:szCs w:val="24"/>
        </w:rPr>
      </w:pPr>
    </w:p>
    <w:p w14:paraId="122FDB91" w14:textId="77777777" w:rsidR="00C93B02" w:rsidRDefault="008319F0" w:rsidP="00701582">
      <w:pPr>
        <w:pStyle w:val="NoSpacing"/>
        <w:numPr>
          <w:ilvl w:val="2"/>
          <w:numId w:val="32"/>
        </w:numPr>
        <w:rPr>
          <w:rFonts w:ascii="Times New Roman" w:hAnsi="Times New Roman" w:cs="Times New Roman"/>
          <w:sz w:val="24"/>
          <w:szCs w:val="24"/>
        </w:rPr>
      </w:pPr>
      <w:r w:rsidRPr="00C93B02">
        <w:rPr>
          <w:rFonts w:ascii="Times New Roman" w:hAnsi="Times New Roman" w:cs="Times New Roman"/>
          <w:b/>
          <w:sz w:val="24"/>
          <w:szCs w:val="24"/>
        </w:rPr>
        <w:t>There are problems determining efficiency</w:t>
      </w:r>
      <w:r w:rsidR="00754119" w:rsidRPr="00C93B02">
        <w:rPr>
          <w:rFonts w:ascii="Times New Roman" w:hAnsi="Times New Roman" w:cs="Times New Roman"/>
          <w:b/>
          <w:sz w:val="24"/>
          <w:szCs w:val="24"/>
        </w:rPr>
        <w:t xml:space="preserve"> and whether the procedure </w:t>
      </w:r>
      <w:r w:rsidR="009045C6" w:rsidRPr="00C93B02">
        <w:rPr>
          <w:rFonts w:ascii="Times New Roman" w:hAnsi="Times New Roman" w:cs="Times New Roman"/>
          <w:b/>
          <w:sz w:val="24"/>
          <w:szCs w:val="24"/>
        </w:rPr>
        <w:t>worked</w:t>
      </w:r>
      <w:r w:rsidR="008E3D70" w:rsidRPr="00C93B02">
        <w:rPr>
          <w:rFonts w:ascii="Times New Roman" w:hAnsi="Times New Roman" w:cs="Times New Roman"/>
          <w:b/>
          <w:sz w:val="24"/>
          <w:szCs w:val="24"/>
        </w:rPr>
        <w:t>.</w:t>
      </w:r>
    </w:p>
    <w:p w14:paraId="14267BF0" w14:textId="0D4CEAFE" w:rsidR="00C93B02" w:rsidRDefault="008319F0" w:rsidP="00701582">
      <w:pPr>
        <w:pStyle w:val="NoSpacing"/>
        <w:numPr>
          <w:ilvl w:val="3"/>
          <w:numId w:val="32"/>
        </w:numPr>
        <w:rPr>
          <w:rFonts w:ascii="Times New Roman" w:hAnsi="Times New Roman" w:cs="Times New Roman"/>
          <w:sz w:val="24"/>
          <w:szCs w:val="24"/>
        </w:rPr>
      </w:pPr>
      <w:r w:rsidRPr="00C93B02">
        <w:rPr>
          <w:rFonts w:ascii="Times New Roman" w:hAnsi="Times New Roman" w:cs="Times New Roman"/>
          <w:sz w:val="24"/>
          <w:szCs w:val="24"/>
        </w:rPr>
        <w:t xml:space="preserve">Scientific claims that genome editing is highly efficient and make the targeted changes requires </w:t>
      </w:r>
      <w:r w:rsidR="00D9787E">
        <w:rPr>
          <w:rFonts w:ascii="Times New Roman" w:hAnsi="Times New Roman" w:cs="Times New Roman"/>
          <w:sz w:val="24"/>
          <w:szCs w:val="24"/>
        </w:rPr>
        <w:t>close qualification:</w:t>
      </w:r>
      <w:r w:rsidRPr="00C93B02">
        <w:rPr>
          <w:rFonts w:ascii="Times New Roman" w:hAnsi="Times New Roman" w:cs="Times New Roman"/>
          <w:sz w:val="24"/>
          <w:szCs w:val="24"/>
        </w:rPr>
        <w:t xml:space="preserve">  </w:t>
      </w:r>
    </w:p>
    <w:p w14:paraId="05798F80" w14:textId="77777777" w:rsidR="00C93B02" w:rsidRDefault="008319F0" w:rsidP="00701582">
      <w:pPr>
        <w:pStyle w:val="NoSpacing"/>
        <w:numPr>
          <w:ilvl w:val="3"/>
          <w:numId w:val="32"/>
        </w:numPr>
        <w:rPr>
          <w:rFonts w:ascii="Times New Roman" w:hAnsi="Times New Roman" w:cs="Times New Roman"/>
          <w:sz w:val="24"/>
          <w:szCs w:val="24"/>
        </w:rPr>
      </w:pPr>
      <w:proofErr w:type="spellStart"/>
      <w:r w:rsidRPr="00C93B02">
        <w:rPr>
          <w:rFonts w:ascii="Times New Roman" w:hAnsi="Times New Roman" w:cs="Times New Roman"/>
          <w:sz w:val="24"/>
          <w:szCs w:val="24"/>
        </w:rPr>
        <w:t>Midic</w:t>
      </w:r>
      <w:proofErr w:type="spellEnd"/>
      <w:r w:rsidRPr="00C93B02">
        <w:rPr>
          <w:rFonts w:ascii="Times New Roman" w:hAnsi="Times New Roman" w:cs="Times New Roman"/>
          <w:sz w:val="24"/>
          <w:szCs w:val="24"/>
        </w:rPr>
        <w:t xml:space="preserve"> and colleagues demonstrated potential efficiency at 80-100% using rhesus monkey embryos, but despite such “high efficiency” in animal models, they also reported only </w:t>
      </w:r>
      <w:r w:rsidR="0081054E" w:rsidRPr="00C93B02">
        <w:rPr>
          <w:rFonts w:ascii="Times New Roman" w:hAnsi="Times New Roman" w:cs="Times New Roman"/>
          <w:sz w:val="24"/>
          <w:szCs w:val="24"/>
        </w:rPr>
        <w:t>52% efficiency in human embryos.</w:t>
      </w:r>
    </w:p>
    <w:p w14:paraId="7A20EFE4" w14:textId="77777777" w:rsidR="00C93B02" w:rsidRDefault="0081054E" w:rsidP="00701582">
      <w:pPr>
        <w:pStyle w:val="NoSpacing"/>
        <w:numPr>
          <w:ilvl w:val="3"/>
          <w:numId w:val="32"/>
        </w:numPr>
        <w:rPr>
          <w:rFonts w:ascii="Times New Roman" w:hAnsi="Times New Roman" w:cs="Times New Roman"/>
          <w:sz w:val="24"/>
          <w:szCs w:val="24"/>
        </w:rPr>
      </w:pPr>
      <w:r w:rsidRPr="00C93B02">
        <w:rPr>
          <w:rFonts w:ascii="Times New Roman" w:hAnsi="Times New Roman" w:cs="Times New Roman"/>
          <w:sz w:val="24"/>
          <w:szCs w:val="24"/>
        </w:rPr>
        <w:lastRenderedPageBreak/>
        <w:t xml:space="preserve">The National Academies recognize </w:t>
      </w:r>
      <w:r w:rsidR="008319F0" w:rsidRPr="00C93B02">
        <w:rPr>
          <w:rFonts w:ascii="Times New Roman" w:hAnsi="Times New Roman" w:cs="Times New Roman"/>
          <w:sz w:val="24"/>
          <w:szCs w:val="24"/>
        </w:rPr>
        <w:t>it is not possible to accurately infer the developmental events in human embryos by studying animal models.</w:t>
      </w:r>
      <w:r w:rsidR="008319F0" w:rsidRPr="00E64372">
        <w:rPr>
          <w:rStyle w:val="EndnoteReference"/>
          <w:rFonts w:ascii="Times New Roman" w:hAnsi="Times New Roman" w:cs="Times New Roman"/>
          <w:sz w:val="24"/>
          <w:szCs w:val="24"/>
        </w:rPr>
        <w:endnoteReference w:id="47"/>
      </w:r>
      <w:r w:rsidR="008319F0" w:rsidRPr="00C93B02">
        <w:rPr>
          <w:rFonts w:ascii="Times New Roman" w:hAnsi="Times New Roman" w:cs="Times New Roman"/>
          <w:sz w:val="24"/>
          <w:szCs w:val="24"/>
        </w:rPr>
        <w:t xml:space="preserve"> </w:t>
      </w:r>
    </w:p>
    <w:p w14:paraId="78676499" w14:textId="77777777" w:rsidR="00C93B02" w:rsidRDefault="0081054E" w:rsidP="00701582">
      <w:pPr>
        <w:pStyle w:val="NoSpacing"/>
        <w:numPr>
          <w:ilvl w:val="3"/>
          <w:numId w:val="32"/>
        </w:numPr>
        <w:rPr>
          <w:rFonts w:ascii="Times New Roman" w:hAnsi="Times New Roman" w:cs="Times New Roman"/>
          <w:sz w:val="24"/>
          <w:szCs w:val="24"/>
        </w:rPr>
      </w:pPr>
      <w:r w:rsidRPr="00C93B02">
        <w:rPr>
          <w:rFonts w:ascii="Times New Roman" w:hAnsi="Times New Roman" w:cs="Times New Roman"/>
          <w:sz w:val="24"/>
          <w:szCs w:val="24"/>
        </w:rPr>
        <w:t>I</w:t>
      </w:r>
      <w:r w:rsidR="008319F0" w:rsidRPr="00C93B02">
        <w:rPr>
          <w:rFonts w:ascii="Times New Roman" w:hAnsi="Times New Roman" w:cs="Times New Roman"/>
          <w:sz w:val="24"/>
          <w:szCs w:val="24"/>
        </w:rPr>
        <w:t xml:space="preserve">n animal models using rhesus monkey zygotes, less than 10% of embryos resulted in a </w:t>
      </w:r>
      <w:proofErr w:type="gramStart"/>
      <w:r w:rsidR="008319F0" w:rsidRPr="00C93B02">
        <w:rPr>
          <w:rFonts w:ascii="Times New Roman" w:hAnsi="Times New Roman" w:cs="Times New Roman"/>
          <w:sz w:val="24"/>
          <w:szCs w:val="24"/>
        </w:rPr>
        <w:t>full term</w:t>
      </w:r>
      <w:proofErr w:type="gramEnd"/>
      <w:r w:rsidR="008319F0" w:rsidRPr="00C93B02">
        <w:rPr>
          <w:rFonts w:ascii="Times New Roman" w:hAnsi="Times New Roman" w:cs="Times New Roman"/>
          <w:sz w:val="24"/>
          <w:szCs w:val="24"/>
        </w:rPr>
        <w:t xml:space="preserve"> birth.</w:t>
      </w:r>
      <w:r w:rsidR="008319F0" w:rsidRPr="00E64372">
        <w:rPr>
          <w:rStyle w:val="EndnoteReference"/>
          <w:rFonts w:ascii="Times New Roman" w:hAnsi="Times New Roman" w:cs="Times New Roman"/>
          <w:sz w:val="24"/>
          <w:szCs w:val="24"/>
        </w:rPr>
        <w:endnoteReference w:id="48"/>
      </w:r>
      <w:r w:rsidR="008319F0" w:rsidRPr="00C93B02">
        <w:rPr>
          <w:rFonts w:ascii="Times New Roman" w:hAnsi="Times New Roman" w:cs="Times New Roman"/>
          <w:sz w:val="24"/>
          <w:szCs w:val="24"/>
        </w:rPr>
        <w:t xml:space="preserve">  </w:t>
      </w:r>
      <w:proofErr w:type="spellStart"/>
      <w:r w:rsidR="008319F0" w:rsidRPr="00C93B02">
        <w:rPr>
          <w:rFonts w:ascii="Times New Roman" w:hAnsi="Times New Roman" w:cs="Times New Roman"/>
          <w:sz w:val="24"/>
          <w:szCs w:val="24"/>
        </w:rPr>
        <w:t>Midic</w:t>
      </w:r>
      <w:proofErr w:type="spellEnd"/>
      <w:r w:rsidR="008319F0" w:rsidRPr="00C93B02">
        <w:rPr>
          <w:rFonts w:ascii="Times New Roman" w:hAnsi="Times New Roman" w:cs="Times New Roman"/>
          <w:sz w:val="24"/>
          <w:szCs w:val="24"/>
        </w:rPr>
        <w:t xml:space="preserve"> and colleagues noted a high rate of pregnancy loss and developmental arrest.</w:t>
      </w:r>
      <w:r w:rsidR="008319F0" w:rsidRPr="00E64372">
        <w:rPr>
          <w:rStyle w:val="EndnoteReference"/>
          <w:rFonts w:ascii="Times New Roman" w:hAnsi="Times New Roman" w:cs="Times New Roman"/>
          <w:sz w:val="24"/>
          <w:szCs w:val="24"/>
        </w:rPr>
        <w:endnoteReference w:id="49"/>
      </w:r>
      <w:r w:rsidR="008319F0" w:rsidRPr="00C93B02">
        <w:rPr>
          <w:rFonts w:ascii="Times New Roman" w:hAnsi="Times New Roman" w:cs="Times New Roman"/>
          <w:sz w:val="24"/>
          <w:szCs w:val="24"/>
        </w:rPr>
        <w:t xml:space="preserve">  </w:t>
      </w:r>
    </w:p>
    <w:p w14:paraId="22BBAAEB" w14:textId="77777777" w:rsidR="00C93B02" w:rsidRDefault="0081054E" w:rsidP="00701582">
      <w:pPr>
        <w:pStyle w:val="NoSpacing"/>
        <w:numPr>
          <w:ilvl w:val="3"/>
          <w:numId w:val="32"/>
        </w:numPr>
        <w:rPr>
          <w:rFonts w:ascii="Times New Roman" w:hAnsi="Times New Roman" w:cs="Times New Roman"/>
          <w:sz w:val="24"/>
          <w:szCs w:val="24"/>
        </w:rPr>
      </w:pPr>
      <w:r w:rsidRPr="00C93B02">
        <w:rPr>
          <w:rFonts w:ascii="Times New Roman" w:hAnsi="Times New Roman" w:cs="Times New Roman"/>
          <w:sz w:val="24"/>
          <w:szCs w:val="24"/>
        </w:rPr>
        <w:t xml:space="preserve">Although the National Academies </w:t>
      </w:r>
      <w:r w:rsidRPr="00C93B02">
        <w:rPr>
          <w:rFonts w:ascii="Times New Roman" w:hAnsi="Times New Roman" w:cs="Times New Roman"/>
          <w:i/>
          <w:sz w:val="24"/>
          <w:szCs w:val="24"/>
        </w:rPr>
        <w:t>assumes</w:t>
      </w:r>
      <w:r w:rsidRPr="00C93B02">
        <w:rPr>
          <w:rFonts w:ascii="Times New Roman" w:hAnsi="Times New Roman" w:cs="Times New Roman"/>
          <w:sz w:val="24"/>
          <w:szCs w:val="24"/>
        </w:rPr>
        <w:t xml:space="preserve"> the genome </w:t>
      </w:r>
      <w:r w:rsidR="008319F0" w:rsidRPr="00C93B02">
        <w:rPr>
          <w:rFonts w:ascii="Times New Roman" w:hAnsi="Times New Roman" w:cs="Times New Roman"/>
          <w:sz w:val="24"/>
          <w:szCs w:val="24"/>
        </w:rPr>
        <w:t>editing process does not interfere wit</w:t>
      </w:r>
      <w:r w:rsidR="00C93B02">
        <w:rPr>
          <w:rFonts w:ascii="Times New Roman" w:hAnsi="Times New Roman" w:cs="Times New Roman"/>
          <w:sz w:val="24"/>
          <w:szCs w:val="24"/>
        </w:rPr>
        <w:t>h development.  However,</w:t>
      </w:r>
      <w:r w:rsidR="008319F0" w:rsidRPr="00C93B02">
        <w:rPr>
          <w:rFonts w:ascii="Times New Roman" w:hAnsi="Times New Roman" w:cs="Times New Roman"/>
          <w:sz w:val="24"/>
          <w:szCs w:val="24"/>
        </w:rPr>
        <w:t xml:space="preserve"> some scientists have suggested the opposite: diminishing survival rate suggests that embryos that do survive germline modifications may develop subtle latent </w:t>
      </w:r>
      <w:r w:rsidRPr="00C93B02">
        <w:rPr>
          <w:rFonts w:ascii="Times New Roman" w:hAnsi="Times New Roman" w:cs="Times New Roman"/>
          <w:sz w:val="24"/>
          <w:szCs w:val="24"/>
        </w:rPr>
        <w:t xml:space="preserve">health </w:t>
      </w:r>
      <w:r w:rsidR="008319F0" w:rsidRPr="00C93B02">
        <w:rPr>
          <w:rFonts w:ascii="Times New Roman" w:hAnsi="Times New Roman" w:cs="Times New Roman"/>
          <w:sz w:val="24"/>
          <w:szCs w:val="24"/>
        </w:rPr>
        <w:t>deficits.</w:t>
      </w:r>
      <w:r w:rsidR="008319F0" w:rsidRPr="00E64372">
        <w:rPr>
          <w:rStyle w:val="EndnoteReference"/>
          <w:rFonts w:ascii="Times New Roman" w:hAnsi="Times New Roman" w:cs="Times New Roman"/>
          <w:sz w:val="24"/>
          <w:szCs w:val="24"/>
        </w:rPr>
        <w:endnoteReference w:id="50"/>
      </w:r>
    </w:p>
    <w:p w14:paraId="518AAA16" w14:textId="77777777" w:rsidR="00C93B02" w:rsidRDefault="00C93B02" w:rsidP="00C93B02">
      <w:pPr>
        <w:pStyle w:val="NoSpacing"/>
        <w:ind w:left="2520"/>
        <w:rPr>
          <w:rFonts w:ascii="Times New Roman" w:hAnsi="Times New Roman" w:cs="Times New Roman"/>
          <w:sz w:val="24"/>
          <w:szCs w:val="24"/>
        </w:rPr>
      </w:pPr>
    </w:p>
    <w:p w14:paraId="3B922598" w14:textId="77777777" w:rsidR="00C93B02" w:rsidRDefault="0081054E" w:rsidP="00701582">
      <w:pPr>
        <w:pStyle w:val="NoSpacing"/>
        <w:numPr>
          <w:ilvl w:val="2"/>
          <w:numId w:val="32"/>
        </w:numPr>
        <w:rPr>
          <w:rFonts w:ascii="Times New Roman" w:hAnsi="Times New Roman" w:cs="Times New Roman"/>
          <w:sz w:val="24"/>
          <w:szCs w:val="24"/>
        </w:rPr>
      </w:pPr>
      <w:r w:rsidRPr="00C93B02">
        <w:rPr>
          <w:rFonts w:ascii="Times New Roman" w:hAnsi="Times New Roman" w:cs="Times New Roman"/>
          <w:b/>
          <w:sz w:val="24"/>
          <w:szCs w:val="24"/>
        </w:rPr>
        <w:t>Genome editing results in unpredictable effects on human development</w:t>
      </w:r>
      <w:r w:rsidR="008E3D70" w:rsidRPr="00C93B02">
        <w:rPr>
          <w:rFonts w:ascii="Times New Roman" w:hAnsi="Times New Roman" w:cs="Times New Roman"/>
          <w:b/>
          <w:sz w:val="24"/>
          <w:szCs w:val="24"/>
        </w:rPr>
        <w:t>.</w:t>
      </w:r>
    </w:p>
    <w:p w14:paraId="03742780" w14:textId="77777777" w:rsidR="00C93B02" w:rsidRDefault="0081054E" w:rsidP="00701582">
      <w:pPr>
        <w:pStyle w:val="NoSpacing"/>
        <w:numPr>
          <w:ilvl w:val="3"/>
          <w:numId w:val="32"/>
        </w:numPr>
        <w:rPr>
          <w:rFonts w:ascii="Times New Roman" w:hAnsi="Times New Roman" w:cs="Times New Roman"/>
          <w:sz w:val="24"/>
          <w:szCs w:val="24"/>
        </w:rPr>
      </w:pPr>
      <w:r w:rsidRPr="00C93B02">
        <w:rPr>
          <w:rFonts w:ascii="Times New Roman" w:hAnsi="Times New Roman" w:cs="Times New Roman"/>
          <w:sz w:val="24"/>
          <w:szCs w:val="24"/>
        </w:rPr>
        <w:t>Although the National Academies presumes that embryo survival equates to health, this conclusion does not account for the highly significant impact of the process of genome editing on the subsequent developmental trajectory.</w:t>
      </w:r>
      <w:r w:rsidRPr="00E64372">
        <w:rPr>
          <w:rStyle w:val="EndnoteReference"/>
          <w:rFonts w:ascii="Times New Roman" w:hAnsi="Times New Roman" w:cs="Times New Roman"/>
          <w:sz w:val="24"/>
          <w:szCs w:val="24"/>
        </w:rPr>
        <w:endnoteReference w:id="51"/>
      </w:r>
      <w:r w:rsidRPr="00C93B02">
        <w:rPr>
          <w:rFonts w:ascii="Times New Roman" w:hAnsi="Times New Roman" w:cs="Times New Roman"/>
          <w:sz w:val="24"/>
          <w:szCs w:val="24"/>
        </w:rPr>
        <w:t xml:space="preserve">  </w:t>
      </w:r>
    </w:p>
    <w:p w14:paraId="0BC7696D" w14:textId="77777777" w:rsidR="00C93B02" w:rsidRDefault="0081054E" w:rsidP="00701582">
      <w:pPr>
        <w:pStyle w:val="NoSpacing"/>
        <w:numPr>
          <w:ilvl w:val="3"/>
          <w:numId w:val="32"/>
        </w:numPr>
        <w:rPr>
          <w:rFonts w:ascii="Times New Roman" w:hAnsi="Times New Roman" w:cs="Times New Roman"/>
          <w:sz w:val="24"/>
          <w:szCs w:val="24"/>
        </w:rPr>
      </w:pPr>
      <w:r w:rsidRPr="00C93B02">
        <w:rPr>
          <w:rFonts w:ascii="Times New Roman" w:hAnsi="Times New Roman" w:cs="Times New Roman"/>
          <w:sz w:val="24"/>
          <w:szCs w:val="24"/>
        </w:rPr>
        <w:t>In 2015, the Office of Science Policy of the National Institutes of Health published a report in which it described the risks associated with genome editing, including the potential for the extra chromosomal DNA to become trapped into the double strand break where the genome editing technology interacts within the gene.</w:t>
      </w:r>
      <w:r w:rsidRPr="00E64372">
        <w:rPr>
          <w:rStyle w:val="EndnoteReference"/>
          <w:rFonts w:ascii="Times New Roman" w:hAnsi="Times New Roman" w:cs="Times New Roman"/>
          <w:sz w:val="24"/>
          <w:szCs w:val="24"/>
        </w:rPr>
        <w:endnoteReference w:id="52"/>
      </w:r>
      <w:r w:rsidRPr="00C93B02">
        <w:rPr>
          <w:rFonts w:ascii="Times New Roman" w:hAnsi="Times New Roman" w:cs="Times New Roman"/>
          <w:sz w:val="24"/>
          <w:szCs w:val="24"/>
        </w:rPr>
        <w:t xml:space="preserve">  </w:t>
      </w:r>
    </w:p>
    <w:p w14:paraId="19FF29F6" w14:textId="77777777" w:rsidR="00C93B02" w:rsidRDefault="0081054E" w:rsidP="00701582">
      <w:pPr>
        <w:pStyle w:val="NoSpacing"/>
        <w:numPr>
          <w:ilvl w:val="3"/>
          <w:numId w:val="32"/>
        </w:numPr>
        <w:rPr>
          <w:rFonts w:ascii="Times New Roman" w:hAnsi="Times New Roman" w:cs="Times New Roman"/>
          <w:sz w:val="24"/>
          <w:szCs w:val="24"/>
        </w:rPr>
      </w:pPr>
      <w:r w:rsidRPr="00C93B02">
        <w:rPr>
          <w:rFonts w:ascii="Times New Roman" w:hAnsi="Times New Roman" w:cs="Times New Roman"/>
          <w:sz w:val="24"/>
          <w:szCs w:val="24"/>
        </w:rPr>
        <w:t xml:space="preserve">Available research provides support for the proposition that the impact on the organism </w:t>
      </w:r>
      <w:proofErr w:type="gramStart"/>
      <w:r w:rsidRPr="00C93B02">
        <w:rPr>
          <w:rFonts w:ascii="Times New Roman" w:hAnsi="Times New Roman" w:cs="Times New Roman"/>
          <w:sz w:val="24"/>
          <w:szCs w:val="24"/>
        </w:rPr>
        <w:t>as a whole is</w:t>
      </w:r>
      <w:proofErr w:type="gramEnd"/>
      <w:r w:rsidRPr="00C93B02">
        <w:rPr>
          <w:rFonts w:ascii="Times New Roman" w:hAnsi="Times New Roman" w:cs="Times New Roman"/>
          <w:sz w:val="24"/>
          <w:szCs w:val="24"/>
        </w:rPr>
        <w:t xml:space="preserve"> highly risky and unpredictable.</w:t>
      </w:r>
      <w:r w:rsidRPr="00E64372">
        <w:rPr>
          <w:rStyle w:val="EndnoteReference"/>
          <w:rFonts w:ascii="Times New Roman" w:hAnsi="Times New Roman" w:cs="Times New Roman"/>
          <w:sz w:val="24"/>
          <w:szCs w:val="24"/>
        </w:rPr>
        <w:endnoteReference w:id="53"/>
      </w:r>
    </w:p>
    <w:p w14:paraId="6DA0CEA9" w14:textId="77777777" w:rsidR="00BE0129" w:rsidRDefault="0081054E" w:rsidP="00701582">
      <w:pPr>
        <w:pStyle w:val="ListParagraph"/>
        <w:numPr>
          <w:ilvl w:val="3"/>
          <w:numId w:val="32"/>
        </w:numPr>
      </w:pPr>
      <w:r w:rsidRPr="00C93B02">
        <w:t xml:space="preserve">Evolutionary biologist Stuart Newman </w:t>
      </w:r>
      <w:r w:rsidR="00C93B02">
        <w:t>describes the serious risks, stating genome modification</w:t>
      </w:r>
      <w:r w:rsidR="00411E24" w:rsidRPr="00C93B02">
        <w:t>:</w:t>
      </w:r>
      <w:r w:rsidR="00BE0129">
        <w:t xml:space="preserve"> </w:t>
      </w:r>
    </w:p>
    <w:p w14:paraId="4432FD8A" w14:textId="77777777" w:rsidR="00BE0129" w:rsidRDefault="00411E24" w:rsidP="00701582">
      <w:pPr>
        <w:pStyle w:val="ListParagraph"/>
        <w:numPr>
          <w:ilvl w:val="4"/>
          <w:numId w:val="32"/>
        </w:numPr>
      </w:pPr>
      <w:r w:rsidRPr="00E64372">
        <w:t xml:space="preserve">Is </w:t>
      </w:r>
      <w:r w:rsidR="0081054E" w:rsidRPr="00E64372">
        <w:t>“fraught with potential error” precisely because germline interventions impact every cell in the body and will affect every cell’s subsequent growth and development.</w:t>
      </w:r>
      <w:r w:rsidR="0081054E" w:rsidRPr="00E64372">
        <w:rPr>
          <w:rStyle w:val="EndnoteReference"/>
        </w:rPr>
        <w:endnoteReference w:id="54"/>
      </w:r>
      <w:r w:rsidR="0081054E" w:rsidRPr="00E64372">
        <w:t xml:space="preserve">  </w:t>
      </w:r>
    </w:p>
    <w:p w14:paraId="451052E0" w14:textId="506AFDA4" w:rsidR="00BE0129" w:rsidRDefault="00D9787E" w:rsidP="00701582">
      <w:pPr>
        <w:pStyle w:val="ListParagraph"/>
        <w:numPr>
          <w:ilvl w:val="4"/>
          <w:numId w:val="32"/>
        </w:numPr>
      </w:pPr>
      <w:r>
        <w:t>Is r</w:t>
      </w:r>
      <w:r w:rsidR="00C93B02">
        <w:t xml:space="preserve">isky because </w:t>
      </w:r>
      <w:r w:rsidR="00411E24" w:rsidRPr="00E64372">
        <w:t>“</w:t>
      </w:r>
      <w:r w:rsidR="00C93B02">
        <w:t>t</w:t>
      </w:r>
      <w:r w:rsidR="00411E24" w:rsidRPr="00E64372">
        <w:t>here is no such thing as engineering an organism” because interactions between genes are highly integrated, designed to achieve stability and balance, and manipulation of one location risks disrupting the biological equilibrium.</w:t>
      </w:r>
      <w:r w:rsidR="00411E24" w:rsidRPr="00E64372">
        <w:rPr>
          <w:rStyle w:val="EndnoteReference"/>
        </w:rPr>
        <w:endnoteReference w:id="55"/>
      </w:r>
    </w:p>
    <w:p w14:paraId="4C17D6C4" w14:textId="77777777" w:rsidR="00455B8A" w:rsidRDefault="00455B8A" w:rsidP="00455B8A">
      <w:pPr>
        <w:pStyle w:val="ListParagraph"/>
        <w:ind w:left="3240"/>
      </w:pPr>
    </w:p>
    <w:p w14:paraId="1AF143C9" w14:textId="438FE290" w:rsidR="00BE0129" w:rsidRDefault="0081054E" w:rsidP="00701582">
      <w:pPr>
        <w:pStyle w:val="ListParagraph"/>
        <w:numPr>
          <w:ilvl w:val="2"/>
          <w:numId w:val="32"/>
        </w:numPr>
      </w:pPr>
      <w:r w:rsidRPr="00BE0129">
        <w:rPr>
          <w:b/>
        </w:rPr>
        <w:t>In animal models, germline modifications induced multiple devastating effects, ranging from latent health deficits, inducing tumor growth, and producing developmental abnormalities</w:t>
      </w:r>
      <w:r w:rsidRPr="00C93B02">
        <w:t>.</w:t>
      </w:r>
      <w:r w:rsidRPr="00E64372">
        <w:rPr>
          <w:rStyle w:val="EndnoteReference"/>
        </w:rPr>
        <w:endnoteReference w:id="56"/>
      </w:r>
    </w:p>
    <w:p w14:paraId="01F3774C" w14:textId="77777777" w:rsidR="00455B8A" w:rsidRDefault="00455B8A" w:rsidP="00455B8A">
      <w:pPr>
        <w:pStyle w:val="ListParagraph"/>
        <w:ind w:left="2520"/>
      </w:pPr>
    </w:p>
    <w:p w14:paraId="15A0AB14" w14:textId="77777777" w:rsidR="00BE0129" w:rsidRDefault="0081054E" w:rsidP="00701582">
      <w:pPr>
        <w:pStyle w:val="ListParagraph"/>
        <w:numPr>
          <w:ilvl w:val="3"/>
          <w:numId w:val="32"/>
        </w:numPr>
      </w:pPr>
      <w:r w:rsidRPr="00C93B02">
        <w:t xml:space="preserve">Biologist </w:t>
      </w:r>
      <w:proofErr w:type="spellStart"/>
      <w:r w:rsidRPr="00C93B02">
        <w:t>Xiangjin</w:t>
      </w:r>
      <w:proofErr w:type="spellEnd"/>
      <w:r w:rsidRPr="00C93B02">
        <w:t xml:space="preserve"> Kang and colleagues explicitly warn even modifying a target to a naturally occurring allele requires scrutiny</w:t>
      </w:r>
      <w:r w:rsidR="00411E24" w:rsidRPr="00C93B02">
        <w:t>:</w:t>
      </w:r>
    </w:p>
    <w:p w14:paraId="5D5D249F" w14:textId="77777777" w:rsidR="00BE0129" w:rsidRDefault="00411E24" w:rsidP="00701582">
      <w:pPr>
        <w:pStyle w:val="ListParagraph"/>
        <w:numPr>
          <w:ilvl w:val="4"/>
          <w:numId w:val="32"/>
        </w:numPr>
      </w:pPr>
      <w:r w:rsidRPr="00C93B02">
        <w:t>W</w:t>
      </w:r>
      <w:r w:rsidR="0081054E" w:rsidRPr="00C93B02">
        <w:t>e are unable to predict the genome wide effect of changing a single allele and disrupting the pre-existing genome.</w:t>
      </w:r>
      <w:r w:rsidR="0081054E" w:rsidRPr="00E64372">
        <w:rPr>
          <w:rStyle w:val="EndnoteReference"/>
        </w:rPr>
        <w:endnoteReference w:id="57"/>
      </w:r>
      <w:r w:rsidR="0081054E" w:rsidRPr="00C93B02">
        <w:t xml:space="preserve"> This may result in creating a child who may be congenitally impaired, facing biological complications and irreversible health harms.</w:t>
      </w:r>
      <w:r w:rsidR="0081054E" w:rsidRPr="00E64372">
        <w:rPr>
          <w:rStyle w:val="EndnoteReference"/>
        </w:rPr>
        <w:endnoteReference w:id="58"/>
      </w:r>
      <w:r w:rsidR="0081054E" w:rsidRPr="00C93B02">
        <w:t xml:space="preserve">  </w:t>
      </w:r>
    </w:p>
    <w:p w14:paraId="5A48644C" w14:textId="77777777" w:rsidR="00BE0129" w:rsidRDefault="008E3D70" w:rsidP="00701582">
      <w:pPr>
        <w:pStyle w:val="ListParagraph"/>
        <w:numPr>
          <w:ilvl w:val="4"/>
          <w:numId w:val="32"/>
        </w:numPr>
      </w:pPr>
      <w:r w:rsidRPr="00BE0129">
        <w:rPr>
          <w:b/>
        </w:rPr>
        <w:lastRenderedPageBreak/>
        <w:t xml:space="preserve">Effects of genome editing may not be immediately </w:t>
      </w:r>
      <w:proofErr w:type="gramStart"/>
      <w:r w:rsidRPr="00BE0129">
        <w:rPr>
          <w:b/>
        </w:rPr>
        <w:t>visible</w:t>
      </w:r>
      <w:r w:rsidR="000B4654" w:rsidRPr="00BE0129">
        <w:rPr>
          <w:b/>
        </w:rPr>
        <w:t>,</w:t>
      </w:r>
      <w:r w:rsidRPr="00BE0129">
        <w:rPr>
          <w:b/>
        </w:rPr>
        <w:t xml:space="preserve"> but</w:t>
      </w:r>
      <w:proofErr w:type="gramEnd"/>
      <w:r w:rsidRPr="00BE0129">
        <w:rPr>
          <w:b/>
        </w:rPr>
        <w:t xml:space="preserve"> may </w:t>
      </w:r>
      <w:r w:rsidR="000B4654" w:rsidRPr="00BE0129">
        <w:rPr>
          <w:b/>
        </w:rPr>
        <w:t>create</w:t>
      </w:r>
      <w:r w:rsidRPr="00BE0129">
        <w:rPr>
          <w:b/>
        </w:rPr>
        <w:t xml:space="preserve"> latent health risks to the child.</w:t>
      </w:r>
      <w:r w:rsidR="00BE0129">
        <w:rPr>
          <w:b/>
        </w:rPr>
        <w:t xml:space="preserve"> </w:t>
      </w:r>
      <w:r w:rsidR="00411E24" w:rsidRPr="00296ACA">
        <w:t>T</w:t>
      </w:r>
      <w:r w:rsidR="0081054E" w:rsidRPr="00296ACA">
        <w:t>he impac</w:t>
      </w:r>
      <w:r w:rsidRPr="00296ACA">
        <w:t xml:space="preserve">t of </w:t>
      </w:r>
      <w:r w:rsidR="0081054E" w:rsidRPr="00296ACA">
        <w:t>germline modifications may only become apparent during the growth and development of the future child, as the embryo grows into specific cells and tissues, during the unfolding of the nervous system, the organs, the brain, and over the course of the child’s life.</w:t>
      </w:r>
      <w:r w:rsidR="0081054E" w:rsidRPr="00E64372">
        <w:rPr>
          <w:rStyle w:val="EndnoteReference"/>
        </w:rPr>
        <w:endnoteReference w:id="59"/>
      </w:r>
      <w:r w:rsidR="0081054E" w:rsidRPr="00296ACA">
        <w:t xml:space="preserve">  </w:t>
      </w:r>
    </w:p>
    <w:p w14:paraId="0D5B13AF" w14:textId="77777777" w:rsidR="00BE0129" w:rsidRDefault="00411E24" w:rsidP="00701582">
      <w:pPr>
        <w:pStyle w:val="ListParagraph"/>
        <w:numPr>
          <w:ilvl w:val="4"/>
          <w:numId w:val="32"/>
        </w:numPr>
      </w:pPr>
      <w:r w:rsidRPr="00BE0129">
        <w:rPr>
          <w:b/>
        </w:rPr>
        <w:t>A</w:t>
      </w:r>
      <w:r w:rsidR="0081054E" w:rsidRPr="00BE0129">
        <w:rPr>
          <w:b/>
        </w:rPr>
        <w:t>nimal models that appeared to be growing and developing according to prediction suffered tumor development later in life and encountered unexpected developmental abnormalities</w:t>
      </w:r>
      <w:r w:rsidR="0081054E" w:rsidRPr="00E64372">
        <w:t xml:space="preserve"> not previously anticipated by scientists.</w:t>
      </w:r>
      <w:r w:rsidR="0081054E" w:rsidRPr="00E64372">
        <w:rPr>
          <w:rStyle w:val="EndnoteReference"/>
        </w:rPr>
        <w:endnoteReference w:id="60"/>
      </w:r>
      <w:r w:rsidR="0081054E" w:rsidRPr="00E64372">
        <w:t xml:space="preserve">  </w:t>
      </w:r>
    </w:p>
    <w:p w14:paraId="64DCC3B4" w14:textId="77777777" w:rsidR="00BE0129" w:rsidRPr="00BE0129" w:rsidRDefault="00BE0129" w:rsidP="00BE0129">
      <w:pPr>
        <w:pStyle w:val="ListParagraph"/>
        <w:ind w:left="3240"/>
      </w:pPr>
    </w:p>
    <w:p w14:paraId="28834819" w14:textId="61C9D999" w:rsidR="00BE0129" w:rsidRDefault="008E3D70" w:rsidP="00701582">
      <w:pPr>
        <w:pStyle w:val="ListParagraph"/>
        <w:numPr>
          <w:ilvl w:val="2"/>
          <w:numId w:val="32"/>
        </w:numPr>
      </w:pPr>
      <w:r w:rsidRPr="00BE0129">
        <w:rPr>
          <w:b/>
        </w:rPr>
        <w:t>Genome editing may result in mosaicism, where some cells contain genetic modification and other cells do not demonstrate the intended modification</w:t>
      </w:r>
      <w:r w:rsidRPr="00E64372">
        <w:t>.</w:t>
      </w:r>
      <w:r w:rsidRPr="00E64372">
        <w:rPr>
          <w:rStyle w:val="EndnoteReference"/>
        </w:rPr>
        <w:endnoteReference w:id="61"/>
      </w:r>
      <w:r w:rsidRPr="00E64372">
        <w:t xml:space="preserve">  </w:t>
      </w:r>
      <w:r w:rsidR="00604CA0" w:rsidRPr="00455B8A">
        <w:rPr>
          <w:b/>
        </w:rPr>
        <w:t>Mosaicism can result in</w:t>
      </w:r>
      <w:r w:rsidR="00604CA0" w:rsidRPr="00BE0129">
        <w:t xml:space="preserve"> </w:t>
      </w:r>
      <w:r w:rsidR="00604CA0" w:rsidRPr="00455B8A">
        <w:rPr>
          <w:b/>
        </w:rPr>
        <w:t>gross structural abnormalities, major Mendelian disorders, cell and tissue degeneration associated with aging, and death</w:t>
      </w:r>
      <w:r w:rsidR="00604CA0" w:rsidRPr="00BE0129">
        <w:t>.</w:t>
      </w:r>
      <w:r w:rsidR="00604CA0" w:rsidRPr="00E64372">
        <w:rPr>
          <w:rStyle w:val="EndnoteReference"/>
        </w:rPr>
        <w:endnoteReference w:id="62"/>
      </w:r>
      <w:r w:rsidR="00604CA0" w:rsidRPr="00BE0129">
        <w:t xml:space="preserve">  </w:t>
      </w:r>
    </w:p>
    <w:p w14:paraId="0346A362" w14:textId="77777777" w:rsidR="00BE0129" w:rsidRDefault="00604CA0" w:rsidP="00701582">
      <w:pPr>
        <w:pStyle w:val="ListParagraph"/>
        <w:numPr>
          <w:ilvl w:val="3"/>
          <w:numId w:val="32"/>
        </w:numPr>
      </w:pPr>
      <w:r w:rsidRPr="00BE0129">
        <w:t>A</w:t>
      </w:r>
      <w:r w:rsidR="008E3D70" w:rsidRPr="00BE0129">
        <w:t>nimal models demonstrate “substantial” genetic mosaicism because the editing mechanism may occur during different stages of cell division or exert residual influence on cells after division.</w:t>
      </w:r>
      <w:r w:rsidR="008E3D70" w:rsidRPr="00E64372">
        <w:rPr>
          <w:rStyle w:val="EndnoteReference"/>
        </w:rPr>
        <w:endnoteReference w:id="63"/>
      </w:r>
      <w:r w:rsidR="008E3D70" w:rsidRPr="00BE0129">
        <w:t xml:space="preserve">  </w:t>
      </w:r>
    </w:p>
    <w:p w14:paraId="53CCABD6" w14:textId="77777777" w:rsidR="00BE0129" w:rsidRDefault="008E3D70" w:rsidP="00701582">
      <w:pPr>
        <w:pStyle w:val="ListParagraph"/>
        <w:numPr>
          <w:ilvl w:val="3"/>
          <w:numId w:val="32"/>
        </w:numPr>
      </w:pPr>
      <w:r w:rsidRPr="00BE0129">
        <w:t>In one study using early human embryos, the rates of mosaicism in the developing cells exceeded the measured percent of efficiency to induce the desired modification.</w:t>
      </w:r>
      <w:r w:rsidRPr="00E64372">
        <w:rPr>
          <w:rStyle w:val="EndnoteReference"/>
        </w:rPr>
        <w:endnoteReference w:id="64"/>
      </w:r>
    </w:p>
    <w:p w14:paraId="1A1C9F3B" w14:textId="77777777" w:rsidR="00455B8A" w:rsidRDefault="00604CA0" w:rsidP="00701582">
      <w:pPr>
        <w:pStyle w:val="ListParagraph"/>
        <w:numPr>
          <w:ilvl w:val="3"/>
          <w:numId w:val="32"/>
        </w:numPr>
      </w:pPr>
      <w:r w:rsidRPr="00BE0129">
        <w:t>Testing for embryos for mosaicism cannot predict the child’s future health.</w:t>
      </w:r>
    </w:p>
    <w:p w14:paraId="51387215" w14:textId="77777777" w:rsidR="00455B8A" w:rsidRDefault="00604CA0" w:rsidP="00701582">
      <w:pPr>
        <w:pStyle w:val="ListParagraph"/>
        <w:numPr>
          <w:ilvl w:val="3"/>
          <w:numId w:val="32"/>
        </w:numPr>
      </w:pPr>
      <w:r w:rsidRPr="00455B8A">
        <w:t>T</w:t>
      </w:r>
      <w:r w:rsidR="00455B8A" w:rsidRPr="00455B8A">
        <w:t>esting a single cell of the embryo with Preimplantation Genetic Diagnosis</w:t>
      </w:r>
      <w:r w:rsidR="008E3D70" w:rsidRPr="00455B8A">
        <w:t xml:space="preserve"> does not reflect the rest of the cells in the embryo, </w:t>
      </w:r>
      <w:r w:rsidR="00455B8A" w:rsidRPr="00455B8A">
        <w:t>and there are no effective methods to predict the organism’s growth and development</w:t>
      </w:r>
      <w:r w:rsidR="008E3D70" w:rsidRPr="00455B8A">
        <w:t>.</w:t>
      </w:r>
      <w:r w:rsidR="008E3D70" w:rsidRPr="00E64372">
        <w:rPr>
          <w:rStyle w:val="EndnoteReference"/>
        </w:rPr>
        <w:endnoteReference w:id="65"/>
      </w:r>
      <w:r w:rsidR="008E3D70" w:rsidRPr="00455B8A">
        <w:t xml:space="preserve">  </w:t>
      </w:r>
    </w:p>
    <w:p w14:paraId="4F968E13" w14:textId="77777777" w:rsidR="00455B8A" w:rsidRDefault="00455B8A" w:rsidP="00455B8A">
      <w:pPr>
        <w:pStyle w:val="ListParagraph"/>
        <w:ind w:left="2520"/>
      </w:pPr>
    </w:p>
    <w:p w14:paraId="2940A940" w14:textId="77777777" w:rsidR="00455B8A" w:rsidRPr="00455B8A" w:rsidRDefault="00604CA0" w:rsidP="00701582">
      <w:pPr>
        <w:pStyle w:val="ListParagraph"/>
        <w:numPr>
          <w:ilvl w:val="2"/>
          <w:numId w:val="32"/>
        </w:numPr>
      </w:pPr>
      <w:r w:rsidRPr="00455B8A">
        <w:rPr>
          <w:b/>
        </w:rPr>
        <w:t xml:space="preserve">Genome editing also </w:t>
      </w:r>
      <w:r w:rsidR="006D4631" w:rsidRPr="00455B8A">
        <w:rPr>
          <w:b/>
        </w:rPr>
        <w:t>produces</w:t>
      </w:r>
      <w:r w:rsidR="00E64372" w:rsidRPr="00455B8A">
        <w:rPr>
          <w:b/>
        </w:rPr>
        <w:t xml:space="preserve"> off target effects</w:t>
      </w:r>
      <w:r w:rsidR="0025260C" w:rsidRPr="00455B8A">
        <w:rPr>
          <w:b/>
        </w:rPr>
        <w:t>, which impacts the functioning of the whole genome</w:t>
      </w:r>
      <w:r w:rsidR="00E64372" w:rsidRPr="00455B8A">
        <w:rPr>
          <w:b/>
        </w:rPr>
        <w:t>.</w:t>
      </w:r>
    </w:p>
    <w:p w14:paraId="0019611B" w14:textId="77777777" w:rsidR="00455B8A" w:rsidRDefault="00604CA0" w:rsidP="00701582">
      <w:pPr>
        <w:pStyle w:val="ListParagraph"/>
        <w:numPr>
          <w:ilvl w:val="3"/>
          <w:numId w:val="32"/>
        </w:numPr>
      </w:pPr>
      <w:r w:rsidRPr="00455B8A">
        <w:t>The editing nucleases make cuts to unintended locations rather than the target, modifies the target sequence but continues making modifications after the initial target, or the guide RNA may bind to nontarget sequences.</w:t>
      </w:r>
      <w:r w:rsidRPr="00E64372">
        <w:rPr>
          <w:rStyle w:val="EndnoteReference"/>
        </w:rPr>
        <w:endnoteReference w:id="66"/>
      </w:r>
      <w:r w:rsidRPr="00455B8A">
        <w:t xml:space="preserve"> </w:t>
      </w:r>
    </w:p>
    <w:p w14:paraId="204B68EB" w14:textId="77777777" w:rsidR="00455B8A" w:rsidRDefault="00604CA0" w:rsidP="00701582">
      <w:pPr>
        <w:pStyle w:val="ListParagraph"/>
        <w:numPr>
          <w:ilvl w:val="3"/>
          <w:numId w:val="32"/>
        </w:numPr>
      </w:pPr>
      <w:r w:rsidRPr="00455B8A">
        <w:t xml:space="preserve">Insertions, deletions, or translocations can activate or deactivate crucial sequences in the genome, which </w:t>
      </w:r>
      <w:r w:rsidRPr="00455B8A">
        <w:rPr>
          <w:b/>
        </w:rPr>
        <w:t>could activate oncogenes related to tumor development or produce unexpected outcome such as advanced aging</w:t>
      </w:r>
      <w:r w:rsidRPr="00455B8A">
        <w:t>.</w:t>
      </w:r>
      <w:r w:rsidRPr="00E64372">
        <w:rPr>
          <w:rStyle w:val="EndnoteReference"/>
        </w:rPr>
        <w:endnoteReference w:id="67"/>
      </w:r>
      <w:r w:rsidRPr="00455B8A">
        <w:t xml:space="preserve">  </w:t>
      </w:r>
    </w:p>
    <w:p w14:paraId="72817270" w14:textId="77777777" w:rsidR="00455B8A" w:rsidRDefault="00E64372" w:rsidP="00701582">
      <w:pPr>
        <w:pStyle w:val="ListParagraph"/>
        <w:numPr>
          <w:ilvl w:val="3"/>
          <w:numId w:val="32"/>
        </w:numPr>
      </w:pPr>
      <w:r w:rsidRPr="00455B8A">
        <w:rPr>
          <w:b/>
        </w:rPr>
        <w:t>Identifying off target effects poses considerable challenges</w:t>
      </w:r>
      <w:r w:rsidR="000B4654" w:rsidRPr="00455B8A">
        <w:rPr>
          <w:b/>
        </w:rPr>
        <w:t>;</w:t>
      </w:r>
      <w:r w:rsidRPr="00455B8A">
        <w:rPr>
          <w:b/>
        </w:rPr>
        <w:t xml:space="preserve"> not being able to identify off target effects does not mean they do not exist</w:t>
      </w:r>
      <w:r w:rsidRPr="00455B8A">
        <w:t>.</w:t>
      </w:r>
      <w:r w:rsidRPr="00E64372">
        <w:rPr>
          <w:rStyle w:val="EndnoteReference"/>
        </w:rPr>
        <w:endnoteReference w:id="68"/>
      </w:r>
      <w:r w:rsidRPr="00455B8A">
        <w:t xml:space="preserve">  </w:t>
      </w:r>
    </w:p>
    <w:p w14:paraId="04B2CAFE" w14:textId="77777777" w:rsidR="00455B8A" w:rsidRDefault="00E64372" w:rsidP="00701582">
      <w:pPr>
        <w:pStyle w:val="ListParagraph"/>
        <w:numPr>
          <w:ilvl w:val="4"/>
          <w:numId w:val="32"/>
        </w:numPr>
      </w:pPr>
      <w:r w:rsidRPr="00455B8A">
        <w:t>Some studies only examine</w:t>
      </w:r>
      <w:r w:rsidR="00604CA0" w:rsidRPr="00455B8A">
        <w:t xml:space="preserve"> a few sites.</w:t>
      </w:r>
      <w:r w:rsidR="00604CA0" w:rsidRPr="00E64372">
        <w:rPr>
          <w:rStyle w:val="EndnoteReference"/>
        </w:rPr>
        <w:endnoteReference w:id="69"/>
      </w:r>
      <w:r w:rsidR="00604CA0" w:rsidRPr="00455B8A">
        <w:t xml:space="preserve">  Some insertions or deletions may be so small that they escape detection, leading researchers to report no </w:t>
      </w:r>
      <w:proofErr w:type="gramStart"/>
      <w:r w:rsidR="00604CA0" w:rsidRPr="00455B8A">
        <w:t>off target</w:t>
      </w:r>
      <w:proofErr w:type="gramEnd"/>
      <w:r w:rsidR="00604CA0" w:rsidRPr="00455B8A">
        <w:t xml:space="preserve"> effects occurred.</w:t>
      </w:r>
      <w:r w:rsidR="00604CA0" w:rsidRPr="00E64372">
        <w:rPr>
          <w:rStyle w:val="EndnoteReference"/>
        </w:rPr>
        <w:endnoteReference w:id="70"/>
      </w:r>
      <w:r w:rsidR="00604CA0" w:rsidRPr="00455B8A">
        <w:t xml:space="preserve">  </w:t>
      </w:r>
    </w:p>
    <w:p w14:paraId="67E622C8" w14:textId="77777777" w:rsidR="00455B8A" w:rsidRDefault="00604CA0" w:rsidP="00701582">
      <w:pPr>
        <w:pStyle w:val="ListParagraph"/>
        <w:numPr>
          <w:ilvl w:val="4"/>
          <w:numId w:val="32"/>
        </w:numPr>
      </w:pPr>
      <w:r w:rsidRPr="00455B8A">
        <w:lastRenderedPageBreak/>
        <w:t>Off target effects may not be phenotypically apparent, so preliminary appearances would likely suggest normal development.</w:t>
      </w:r>
      <w:r w:rsidRPr="00E64372">
        <w:rPr>
          <w:rStyle w:val="EndnoteReference"/>
        </w:rPr>
        <w:endnoteReference w:id="71"/>
      </w:r>
      <w:r w:rsidRPr="00455B8A">
        <w:t xml:space="preserve">  </w:t>
      </w:r>
    </w:p>
    <w:p w14:paraId="4A9AF73B" w14:textId="77777777" w:rsidR="0061224D" w:rsidRDefault="00604CA0" w:rsidP="00701582">
      <w:pPr>
        <w:pStyle w:val="ListParagraph"/>
        <w:numPr>
          <w:ilvl w:val="4"/>
          <w:numId w:val="32"/>
        </w:numPr>
      </w:pPr>
      <w:proofErr w:type="spellStart"/>
      <w:r w:rsidRPr="00455B8A">
        <w:t>Kosicki</w:t>
      </w:r>
      <w:proofErr w:type="spellEnd"/>
      <w:r w:rsidRPr="00455B8A">
        <w:t xml:space="preserve"> and colleagues found both on target and significant off target damage, such as large deletions and complex rearrangements at areas they had not anticipated.</w:t>
      </w:r>
      <w:r w:rsidRPr="00E64372">
        <w:rPr>
          <w:rStyle w:val="EndnoteReference"/>
        </w:rPr>
        <w:endnoteReference w:id="72"/>
      </w:r>
      <w:r w:rsidRPr="00455B8A">
        <w:t xml:space="preserve"> </w:t>
      </w:r>
    </w:p>
    <w:p w14:paraId="175FFD30" w14:textId="77777777" w:rsidR="0061224D" w:rsidRDefault="0061224D" w:rsidP="009D0E94">
      <w:pPr>
        <w:pStyle w:val="ListParagraph"/>
        <w:ind w:left="3240"/>
      </w:pPr>
    </w:p>
    <w:p w14:paraId="59CFD9E6" w14:textId="77777777" w:rsidR="009D0E94" w:rsidRPr="00387D38" w:rsidRDefault="003F6891" w:rsidP="00701582">
      <w:pPr>
        <w:pStyle w:val="ListParagraph"/>
        <w:numPr>
          <w:ilvl w:val="0"/>
          <w:numId w:val="32"/>
        </w:numPr>
        <w:rPr>
          <w:b/>
        </w:rPr>
      </w:pPr>
      <w:r w:rsidRPr="00D9787E">
        <w:rPr>
          <w:b/>
        </w:rPr>
        <w:t xml:space="preserve">Appealing to parental suffering relies on a false dilemma fallacy: Proponents for MRT and Human Genome Editing argue it will prevent incurable genetic disease, </w:t>
      </w:r>
      <w:r w:rsidR="0061224D" w:rsidRPr="00D9787E">
        <w:rPr>
          <w:b/>
        </w:rPr>
        <w:t xml:space="preserve">fix infertility, </w:t>
      </w:r>
      <w:r w:rsidRPr="00D9787E">
        <w:rPr>
          <w:b/>
        </w:rPr>
        <w:t xml:space="preserve">save families needless misery, and prevent medical progress. </w:t>
      </w:r>
      <w:r w:rsidR="0061224D" w:rsidRPr="00D9787E">
        <w:rPr>
          <w:b/>
        </w:rPr>
        <w:t>In fact, the</w:t>
      </w:r>
      <w:r w:rsidR="0061224D" w:rsidRPr="0061224D">
        <w:t xml:space="preserve"> </w:t>
      </w:r>
      <w:r w:rsidR="0061224D" w:rsidRPr="00387D38">
        <w:rPr>
          <w:b/>
        </w:rPr>
        <w:t xml:space="preserve">available evidence demonstrates germline modification technologies could </w:t>
      </w:r>
      <w:r w:rsidR="0061224D" w:rsidRPr="00387D38">
        <w:rPr>
          <w:b/>
          <w:u w:val="single"/>
        </w:rPr>
        <w:t>not</w:t>
      </w:r>
      <w:r w:rsidR="0061224D" w:rsidRPr="00387D38">
        <w:rPr>
          <w:b/>
        </w:rPr>
        <w:t xml:space="preserve"> effectively address genetic disease </w:t>
      </w:r>
      <w:r w:rsidR="009D0E94" w:rsidRPr="00387D38">
        <w:rPr>
          <w:b/>
        </w:rPr>
        <w:t xml:space="preserve">or infertility.  </w:t>
      </w:r>
    </w:p>
    <w:p w14:paraId="44A7DB8E" w14:textId="77777777" w:rsidR="009D0E94" w:rsidRPr="00387D38" w:rsidRDefault="009D0E94" w:rsidP="009D0E94">
      <w:pPr>
        <w:pStyle w:val="ListParagraph"/>
        <w:ind w:left="360"/>
        <w:rPr>
          <w:b/>
        </w:rPr>
      </w:pPr>
    </w:p>
    <w:p w14:paraId="7048223A" w14:textId="57EC6E21" w:rsidR="0061224D" w:rsidRDefault="009D0E94" w:rsidP="00701582">
      <w:pPr>
        <w:pStyle w:val="ListParagraph"/>
        <w:numPr>
          <w:ilvl w:val="1"/>
          <w:numId w:val="32"/>
        </w:numPr>
      </w:pPr>
      <w:r>
        <w:t>Less risky alternatives already exist to have children, include Preimplantation Genetic Diagnosis to screen embryos for genetic disease, or adoption.</w:t>
      </w:r>
    </w:p>
    <w:p w14:paraId="02D26E6F" w14:textId="77777777" w:rsidR="0061224D" w:rsidRDefault="0061224D" w:rsidP="0061224D">
      <w:pPr>
        <w:pStyle w:val="ListParagraph"/>
        <w:ind w:left="360"/>
      </w:pPr>
    </w:p>
    <w:p w14:paraId="697ACF32" w14:textId="77777777" w:rsidR="0061224D" w:rsidRPr="0061224D" w:rsidRDefault="0025260C" w:rsidP="00701582">
      <w:pPr>
        <w:pStyle w:val="ListParagraph"/>
        <w:numPr>
          <w:ilvl w:val="1"/>
          <w:numId w:val="32"/>
        </w:numPr>
      </w:pPr>
      <w:r w:rsidRPr="0061224D">
        <w:rPr>
          <w:b/>
        </w:rPr>
        <w:t>MRT would not effectively and sustainably address caus</w:t>
      </w:r>
      <w:r w:rsidR="00364061" w:rsidRPr="0061224D">
        <w:rPr>
          <w:b/>
        </w:rPr>
        <w:t xml:space="preserve">es of mitochondrial dysfunction.  </w:t>
      </w:r>
    </w:p>
    <w:p w14:paraId="41D7E70B" w14:textId="77777777" w:rsidR="0061224D" w:rsidRPr="0061224D" w:rsidRDefault="00364061" w:rsidP="00701582">
      <w:pPr>
        <w:pStyle w:val="ListParagraph"/>
        <w:numPr>
          <w:ilvl w:val="2"/>
          <w:numId w:val="32"/>
        </w:numPr>
      </w:pPr>
      <w:r w:rsidRPr="0061224D">
        <w:rPr>
          <w:b/>
        </w:rPr>
        <w:t>MRT is</w:t>
      </w:r>
      <w:r w:rsidR="0025260C" w:rsidRPr="0061224D">
        <w:rPr>
          <w:b/>
        </w:rPr>
        <w:t xml:space="preserve"> not designed to address most c</w:t>
      </w:r>
      <w:r w:rsidR="0061224D">
        <w:rPr>
          <w:b/>
        </w:rPr>
        <w:t>ases of mitochondrial disease.</w:t>
      </w:r>
    </w:p>
    <w:p w14:paraId="74E9DDB3" w14:textId="77777777" w:rsidR="0061224D" w:rsidRDefault="0025260C" w:rsidP="00701582">
      <w:pPr>
        <w:pStyle w:val="ListParagraph"/>
        <w:numPr>
          <w:ilvl w:val="2"/>
          <w:numId w:val="32"/>
        </w:numPr>
      </w:pPr>
      <w:r w:rsidRPr="0061224D">
        <w:t xml:space="preserve">Mitochondrial dysfunction may result from either </w:t>
      </w:r>
      <w:proofErr w:type="spellStart"/>
      <w:r w:rsidRPr="0061224D">
        <w:t>mtDNA</w:t>
      </w:r>
      <w:proofErr w:type="spellEnd"/>
      <w:r w:rsidRPr="0061224D">
        <w:t xml:space="preserve"> mutations or </w:t>
      </w:r>
      <w:proofErr w:type="spellStart"/>
      <w:r w:rsidRPr="0061224D">
        <w:t>nDNA</w:t>
      </w:r>
      <w:proofErr w:type="spellEnd"/>
      <w:r w:rsidRPr="0061224D">
        <w:t xml:space="preserve"> mutations.  80% of mitochondrial dysfunction arises from </w:t>
      </w:r>
      <w:proofErr w:type="spellStart"/>
      <w:r w:rsidRPr="0061224D">
        <w:t>nDNA</w:t>
      </w:r>
      <w:proofErr w:type="spellEnd"/>
      <w:r w:rsidRPr="0061224D">
        <w:t xml:space="preserve"> mutations for which MRT would not address.   </w:t>
      </w:r>
    </w:p>
    <w:p w14:paraId="31F34C49" w14:textId="77777777" w:rsidR="00BA310C" w:rsidRDefault="0025260C" w:rsidP="00701582">
      <w:pPr>
        <w:pStyle w:val="ListParagraph"/>
        <w:numPr>
          <w:ilvl w:val="2"/>
          <w:numId w:val="32"/>
        </w:numPr>
      </w:pPr>
      <w:r w:rsidRPr="0061224D">
        <w:t xml:space="preserve">Recent evidence suggests that a variety of environmental factors induce de novo </w:t>
      </w:r>
      <w:r w:rsidR="0061224D">
        <w:t xml:space="preserve">(new) </w:t>
      </w:r>
      <w:r w:rsidRPr="0061224D">
        <w:t>mutations.  Mitochondrial dysfunction is not only a cause of rare fatal disease, but also has been implicated as a factor in the development of common diseases, such as neurodegenerative disease, cancer, diabetes, cardiovascular disease.</w:t>
      </w:r>
      <w:r w:rsidRPr="00BC38B4">
        <w:rPr>
          <w:rStyle w:val="EndnoteReference"/>
        </w:rPr>
        <w:endnoteReference w:id="73"/>
      </w:r>
      <w:r w:rsidRPr="0061224D">
        <w:t xml:space="preserve">  </w:t>
      </w:r>
    </w:p>
    <w:p w14:paraId="2D0CB9CF" w14:textId="7751BB77" w:rsidR="0061224D" w:rsidRDefault="00BA310C" w:rsidP="00701582">
      <w:pPr>
        <w:pStyle w:val="ListParagraph"/>
        <w:numPr>
          <w:ilvl w:val="2"/>
          <w:numId w:val="32"/>
        </w:numPr>
      </w:pPr>
      <w:r>
        <w:t xml:space="preserve">Public health research suggests a </w:t>
      </w:r>
      <w:r w:rsidR="0025260C" w:rsidRPr="0061224D">
        <w:t>variety of environmental agents, including pesticides,</w:t>
      </w:r>
      <w:r w:rsidR="0025260C" w:rsidRPr="00BC38B4">
        <w:rPr>
          <w:rStyle w:val="EndnoteReference"/>
        </w:rPr>
        <w:endnoteReference w:id="74"/>
      </w:r>
      <w:r w:rsidR="0025260C" w:rsidRPr="0061224D">
        <w:t xml:space="preserve"> heavy metals,</w:t>
      </w:r>
      <w:r w:rsidR="0025260C" w:rsidRPr="00BC38B4">
        <w:rPr>
          <w:rStyle w:val="EndnoteReference"/>
        </w:rPr>
        <w:endnoteReference w:id="75"/>
      </w:r>
      <w:r w:rsidR="0025260C" w:rsidRPr="0061224D">
        <w:t xml:space="preserve"> antibiotics,</w:t>
      </w:r>
      <w:r w:rsidR="0025260C" w:rsidRPr="00BC38B4">
        <w:rPr>
          <w:rStyle w:val="EndnoteReference"/>
        </w:rPr>
        <w:endnoteReference w:id="76"/>
      </w:r>
      <w:r w:rsidR="0025260C" w:rsidRPr="0061224D">
        <w:t xml:space="preserve"> pharmaceutical drugs,</w:t>
      </w:r>
      <w:r w:rsidR="0025260C" w:rsidRPr="00BC38B4">
        <w:rPr>
          <w:rStyle w:val="EndnoteReference"/>
        </w:rPr>
        <w:endnoteReference w:id="77"/>
      </w:r>
      <w:r w:rsidR="0025260C" w:rsidRPr="0061224D">
        <w:t xml:space="preserve"> environmental toxicants such as dioxin</w:t>
      </w:r>
      <w:r w:rsidR="0025260C" w:rsidRPr="00BC38B4">
        <w:rPr>
          <w:rStyle w:val="EndnoteReference"/>
        </w:rPr>
        <w:endnoteReference w:id="78"/>
      </w:r>
      <w:r w:rsidR="0025260C" w:rsidRPr="0061224D">
        <w:t xml:space="preserve"> and Bisphenol A</w:t>
      </w:r>
      <w:r w:rsidR="0025260C" w:rsidRPr="00BC38B4">
        <w:rPr>
          <w:rStyle w:val="EndnoteReference"/>
        </w:rPr>
        <w:endnoteReference w:id="79"/>
      </w:r>
      <w:r w:rsidR="0025260C" w:rsidRPr="0061224D">
        <w:t xml:space="preserve"> can all exert changes to mitochondr</w:t>
      </w:r>
      <w:r w:rsidR="0061224D">
        <w:t xml:space="preserve">ial integrity and development. </w:t>
      </w:r>
    </w:p>
    <w:p w14:paraId="6AE830BD" w14:textId="77777777" w:rsidR="0061224D" w:rsidRDefault="0061224D" w:rsidP="0061224D">
      <w:pPr>
        <w:pStyle w:val="ListParagraph"/>
        <w:ind w:left="2520"/>
      </w:pPr>
    </w:p>
    <w:p w14:paraId="05A635DC" w14:textId="77777777" w:rsidR="0061224D" w:rsidRPr="0061224D" w:rsidRDefault="007B43DB" w:rsidP="00701582">
      <w:pPr>
        <w:pStyle w:val="ListParagraph"/>
        <w:numPr>
          <w:ilvl w:val="1"/>
          <w:numId w:val="32"/>
        </w:numPr>
      </w:pPr>
      <w:r w:rsidRPr="0061224D">
        <w:rPr>
          <w:b/>
        </w:rPr>
        <w:t>It may not be feasible to use Human Genome Editing as a method to address genetic disease and infertility.</w:t>
      </w:r>
    </w:p>
    <w:p w14:paraId="59B4D280" w14:textId="42A5EC72" w:rsidR="0061224D" w:rsidRDefault="007B43DB" w:rsidP="00701582">
      <w:pPr>
        <w:pStyle w:val="ListParagraph"/>
        <w:numPr>
          <w:ilvl w:val="2"/>
          <w:numId w:val="32"/>
        </w:numPr>
      </w:pPr>
      <w:r w:rsidRPr="0061224D">
        <w:rPr>
          <w:b/>
        </w:rPr>
        <w:t>Genome editing presumes that scientists can properly identify and classify which variants are pathogenic and cau</w:t>
      </w:r>
      <w:r w:rsidR="00575194" w:rsidRPr="0061224D">
        <w:rPr>
          <w:b/>
        </w:rPr>
        <w:t xml:space="preserve">se disease: this </w:t>
      </w:r>
      <w:r w:rsidRPr="0061224D">
        <w:rPr>
          <w:b/>
        </w:rPr>
        <w:t xml:space="preserve">is a </w:t>
      </w:r>
      <w:r w:rsidR="0061224D">
        <w:rPr>
          <w:b/>
        </w:rPr>
        <w:t>misleading</w:t>
      </w:r>
      <w:r w:rsidRPr="0061224D">
        <w:rPr>
          <w:b/>
        </w:rPr>
        <w:t xml:space="preserve"> oversimplification</w:t>
      </w:r>
      <w:r w:rsidRPr="0061224D">
        <w:t xml:space="preserve">.  </w:t>
      </w:r>
    </w:p>
    <w:p w14:paraId="25DF1DF8" w14:textId="77777777" w:rsidR="0061224D" w:rsidRDefault="007B43DB" w:rsidP="00701582">
      <w:pPr>
        <w:pStyle w:val="ListParagraph"/>
        <w:numPr>
          <w:ilvl w:val="2"/>
          <w:numId w:val="32"/>
        </w:numPr>
      </w:pPr>
      <w:r w:rsidRPr="0061224D">
        <w:t xml:space="preserve">In 2016, </w:t>
      </w:r>
      <w:r w:rsidRPr="0061224D">
        <w:rPr>
          <w:i/>
        </w:rPr>
        <w:t>Nature</w:t>
      </w:r>
      <w:r w:rsidRPr="0061224D">
        <w:t xml:space="preserve"> published an article stating that the average person has an average of 54 mutations classified as pathogenic, but that 41 occur so frequently in the human population that they are not likely to cause severe disease.</w:t>
      </w:r>
      <w:r w:rsidRPr="007B43DB">
        <w:rPr>
          <w:rStyle w:val="EndnoteReference"/>
        </w:rPr>
        <w:endnoteReference w:id="80"/>
      </w:r>
      <w:r w:rsidRPr="0061224D">
        <w:t xml:space="preserve">  </w:t>
      </w:r>
    </w:p>
    <w:p w14:paraId="7F95F3A4" w14:textId="77777777" w:rsidR="0061224D" w:rsidRDefault="007B43DB" w:rsidP="00701582">
      <w:pPr>
        <w:pStyle w:val="ListParagraph"/>
        <w:numPr>
          <w:ilvl w:val="2"/>
          <w:numId w:val="32"/>
        </w:numPr>
      </w:pPr>
      <w:r w:rsidRPr="0061224D">
        <w:t>Many genetic mutations have been misclassified as harmful, and not all variants are pathogenic that could cause disease.</w:t>
      </w:r>
      <w:r w:rsidRPr="0061224D">
        <w:rPr>
          <w:rStyle w:val="EndnoteReference"/>
        </w:rPr>
        <w:t xml:space="preserve"> </w:t>
      </w:r>
      <w:r w:rsidRPr="007B43DB">
        <w:rPr>
          <w:rStyle w:val="EndnoteReference"/>
        </w:rPr>
        <w:endnoteReference w:id="81"/>
      </w:r>
      <w:r w:rsidRPr="0061224D">
        <w:rPr>
          <w:rStyle w:val="EndnoteReference"/>
        </w:rPr>
        <w:t xml:space="preserve"> </w:t>
      </w:r>
      <w:r w:rsidRPr="0061224D">
        <w:t xml:space="preserve"> </w:t>
      </w:r>
    </w:p>
    <w:p w14:paraId="58584EC5" w14:textId="77777777" w:rsidR="0061224D" w:rsidRDefault="0061224D" w:rsidP="0061224D">
      <w:pPr>
        <w:pStyle w:val="ListParagraph"/>
        <w:ind w:left="1800"/>
      </w:pPr>
    </w:p>
    <w:p w14:paraId="31B91215" w14:textId="7A0DB242" w:rsidR="0061224D" w:rsidRPr="0061224D" w:rsidRDefault="007B43DB" w:rsidP="00701582">
      <w:pPr>
        <w:pStyle w:val="ListParagraph"/>
        <w:numPr>
          <w:ilvl w:val="1"/>
          <w:numId w:val="32"/>
        </w:numPr>
      </w:pPr>
      <w:r w:rsidRPr="0061224D">
        <w:rPr>
          <w:b/>
        </w:rPr>
        <w:lastRenderedPageBreak/>
        <w:t xml:space="preserve">Disease does not occur simply because of a “genetic flaw” or “faulty genes,” but genetic variants appear as </w:t>
      </w:r>
      <w:r w:rsidRPr="0061224D">
        <w:rPr>
          <w:b/>
          <w:u w:val="single"/>
        </w:rPr>
        <w:t>one of many</w:t>
      </w:r>
      <w:r w:rsidRPr="0061224D">
        <w:rPr>
          <w:b/>
        </w:rPr>
        <w:t xml:space="preserve"> causal fact</w:t>
      </w:r>
      <w:r w:rsidR="0061224D">
        <w:rPr>
          <w:b/>
        </w:rPr>
        <w:t>ors in multifactorial diseases.</w:t>
      </w:r>
      <w:r w:rsidR="00AB6644">
        <w:rPr>
          <w:b/>
        </w:rPr>
        <w:t xml:space="preserve">  Many people have a harmful mutation, but never develop the disease.</w:t>
      </w:r>
    </w:p>
    <w:p w14:paraId="07FEC2BA" w14:textId="77777777" w:rsidR="0061224D" w:rsidRDefault="007B43DB" w:rsidP="00701582">
      <w:pPr>
        <w:pStyle w:val="ListParagraph"/>
        <w:numPr>
          <w:ilvl w:val="2"/>
          <w:numId w:val="32"/>
        </w:numPr>
      </w:pPr>
      <w:r w:rsidRPr="0061224D">
        <w:rPr>
          <w:i/>
        </w:rPr>
        <w:t>Cancer</w:t>
      </w:r>
      <w:r w:rsidRPr="0061224D">
        <w:t>:</w:t>
      </w:r>
    </w:p>
    <w:p w14:paraId="7EC979EB" w14:textId="77777777" w:rsidR="0061224D" w:rsidRDefault="002A0CF2" w:rsidP="00701582">
      <w:pPr>
        <w:pStyle w:val="ListParagraph"/>
        <w:numPr>
          <w:ilvl w:val="3"/>
          <w:numId w:val="32"/>
        </w:numPr>
      </w:pPr>
      <w:r w:rsidRPr="0061224D">
        <w:t>I</w:t>
      </w:r>
      <w:r w:rsidR="007B43DB" w:rsidRPr="0061224D">
        <w:t>nherited mutations that contribute to the cause of cancer account for only 5-10% of all cases of cancer, with a substantial percent of remaining risk attributed to environmental and lifestyle factors.</w:t>
      </w:r>
      <w:r w:rsidR="007B43DB" w:rsidRPr="007B43DB">
        <w:rPr>
          <w:rStyle w:val="EndnoteReference"/>
        </w:rPr>
        <w:endnoteReference w:id="82"/>
      </w:r>
      <w:r w:rsidR="0061224D">
        <w:t xml:space="preserve"> </w:t>
      </w:r>
    </w:p>
    <w:p w14:paraId="43D73012" w14:textId="1F5B135B" w:rsidR="00AB6644" w:rsidRDefault="007B43DB" w:rsidP="00701582">
      <w:pPr>
        <w:pStyle w:val="ListParagraph"/>
        <w:numPr>
          <w:ilvl w:val="3"/>
          <w:numId w:val="32"/>
        </w:numPr>
      </w:pPr>
      <w:r w:rsidRPr="0061224D">
        <w:t>Even genetic variants such as BRCA1 and BRCA2 (which occur in .2% of the general population) are not 100% penetrant: a person may carry a BRCA1 variant that predisposes her to risk of breast and ovarian cancer, but never develop the disease.</w:t>
      </w:r>
      <w:r w:rsidRPr="007B43DB">
        <w:rPr>
          <w:rStyle w:val="EndnoteReference"/>
        </w:rPr>
        <w:endnoteReference w:id="83"/>
      </w:r>
      <w:r w:rsidRPr="0061224D">
        <w:t xml:space="preserve">  </w:t>
      </w:r>
    </w:p>
    <w:p w14:paraId="410850AD" w14:textId="77777777" w:rsidR="00AB6644" w:rsidRDefault="00AB6644" w:rsidP="00AB6644">
      <w:pPr>
        <w:pStyle w:val="ListParagraph"/>
        <w:ind w:left="2520"/>
      </w:pPr>
    </w:p>
    <w:p w14:paraId="640A5AAB" w14:textId="77777777" w:rsidR="00AB6644" w:rsidRPr="00AB6644" w:rsidRDefault="007B43DB" w:rsidP="00701582">
      <w:pPr>
        <w:pStyle w:val="ListParagraph"/>
        <w:numPr>
          <w:ilvl w:val="2"/>
          <w:numId w:val="32"/>
        </w:numPr>
      </w:pPr>
      <w:r w:rsidRPr="00AB6644">
        <w:rPr>
          <w:i/>
        </w:rPr>
        <w:t>Parkinson’s Disease:</w:t>
      </w:r>
    </w:p>
    <w:p w14:paraId="7930A577" w14:textId="1DBD229D" w:rsidR="00AB6644" w:rsidRDefault="007B43DB" w:rsidP="00701582">
      <w:pPr>
        <w:pStyle w:val="ListParagraph"/>
        <w:numPr>
          <w:ilvl w:val="3"/>
          <w:numId w:val="32"/>
        </w:numPr>
      </w:pPr>
      <w:r w:rsidRPr="00AB6644">
        <w:t>90% Parkinson’s Disease patients do not report a family history of the disease</w:t>
      </w:r>
      <w:r w:rsidR="00177BF1">
        <w:t xml:space="preserve"> and t</w:t>
      </w:r>
      <w:r w:rsidRPr="00AB6644">
        <w:t>he most common genetic variant associated with Parkinson’s Disease only accounts for fewer than 2% of all cases.</w:t>
      </w:r>
      <w:r w:rsidRPr="007B43DB">
        <w:rPr>
          <w:rStyle w:val="EndnoteReference"/>
        </w:rPr>
        <w:endnoteReference w:id="84"/>
      </w:r>
      <w:r w:rsidRPr="00AB6644">
        <w:t xml:space="preserve">  This variant only correlates to a</w:t>
      </w:r>
      <w:r w:rsidR="00D9787E">
        <w:t xml:space="preserve"> lifetime penetrance of 30-40%” this </w:t>
      </w:r>
      <w:r w:rsidRPr="00AB6644">
        <w:t>means the majority of individuals who have the variant will never develop Parkinson’s Disease.</w:t>
      </w:r>
      <w:r w:rsidRPr="007B43DB">
        <w:rPr>
          <w:rStyle w:val="EndnoteReference"/>
        </w:rPr>
        <w:endnoteReference w:id="85"/>
      </w:r>
      <w:r w:rsidRPr="00AB6644">
        <w:t xml:space="preserve">  </w:t>
      </w:r>
    </w:p>
    <w:p w14:paraId="37436EC1" w14:textId="77777777" w:rsidR="00AB6644" w:rsidRDefault="007B43DB" w:rsidP="00701582">
      <w:pPr>
        <w:pStyle w:val="ListParagraph"/>
        <w:numPr>
          <w:ilvl w:val="3"/>
          <w:numId w:val="32"/>
        </w:numPr>
      </w:pPr>
      <w:r w:rsidRPr="00AB6644">
        <w:t xml:space="preserve">Physician Samuel Goldman states: genetic variation is involved in the development of Parkinson’s Disease, but </w:t>
      </w:r>
      <w:proofErr w:type="gramStart"/>
      <w:r w:rsidRPr="00AB6644">
        <w:t>the vast majority of</w:t>
      </w:r>
      <w:proofErr w:type="gramEnd"/>
      <w:r w:rsidRPr="00AB6644">
        <w:t xml:space="preserve"> cases cannot be ascribed to genetic factors but appear to be linked with exposure to environmental factors such as pesticides, solvents, and air pollutants.</w:t>
      </w:r>
      <w:r w:rsidRPr="007B43DB">
        <w:rPr>
          <w:rStyle w:val="EndnoteReference"/>
        </w:rPr>
        <w:endnoteReference w:id="86"/>
      </w:r>
    </w:p>
    <w:p w14:paraId="62F3A06A" w14:textId="77777777" w:rsidR="00AB6644" w:rsidRDefault="00AB6644" w:rsidP="00AB6644">
      <w:pPr>
        <w:pStyle w:val="ListParagraph"/>
        <w:ind w:left="2520"/>
      </w:pPr>
    </w:p>
    <w:p w14:paraId="74FBD270" w14:textId="77777777" w:rsidR="00AB6644" w:rsidRPr="00177BF1" w:rsidRDefault="002A0CF2" w:rsidP="00701582">
      <w:pPr>
        <w:pStyle w:val="ListParagraph"/>
        <w:numPr>
          <w:ilvl w:val="1"/>
          <w:numId w:val="32"/>
        </w:numPr>
      </w:pPr>
      <w:r w:rsidRPr="00AB6644">
        <w:rPr>
          <w:b/>
        </w:rPr>
        <w:t xml:space="preserve">Even </w:t>
      </w:r>
      <w:r w:rsidRPr="00177BF1">
        <w:rPr>
          <w:b/>
        </w:rPr>
        <w:t>genome editing may not be able to fix monogenic (single gene diseases) like Huntington’s Disease or Cystic Fibrosis.</w:t>
      </w:r>
    </w:p>
    <w:p w14:paraId="41855E6F" w14:textId="77777777" w:rsidR="00AB6644" w:rsidRPr="00177BF1" w:rsidRDefault="002A0CF2" w:rsidP="00701582">
      <w:pPr>
        <w:pStyle w:val="ListParagraph"/>
        <w:numPr>
          <w:ilvl w:val="2"/>
          <w:numId w:val="32"/>
        </w:numPr>
      </w:pPr>
      <w:r w:rsidRPr="00177BF1">
        <w:t xml:space="preserve">Not all individuals with a particular </w:t>
      </w:r>
      <w:proofErr w:type="gramStart"/>
      <w:r w:rsidRPr="00177BF1">
        <w:t>disease causing</w:t>
      </w:r>
      <w:proofErr w:type="gramEnd"/>
      <w:r w:rsidRPr="00177BF1">
        <w:t xml:space="preserve"> mutation will develop the disease, which geneticists refer to as reduced or incomplete penetrance.</w:t>
      </w:r>
      <w:r w:rsidRPr="00177BF1">
        <w:rPr>
          <w:rStyle w:val="EndnoteReference"/>
        </w:rPr>
        <w:endnoteReference w:id="87"/>
      </w:r>
    </w:p>
    <w:p w14:paraId="7BCCCFB6" w14:textId="77777777" w:rsidR="00AB6644" w:rsidRPr="00177BF1" w:rsidRDefault="002A0CF2" w:rsidP="00701582">
      <w:pPr>
        <w:pStyle w:val="ListParagraph"/>
        <w:numPr>
          <w:ilvl w:val="2"/>
          <w:numId w:val="32"/>
        </w:numPr>
      </w:pPr>
      <w:r w:rsidRPr="00177BF1">
        <w:t>Medical geneticist David Cooper: “The traditional view of genetic disorders as being either monogenic or multifactorial is no longer supported and requires a change in focus toward factors that modify gene expression and disease course.”</w:t>
      </w:r>
      <w:r w:rsidRPr="00177BF1">
        <w:rPr>
          <w:rStyle w:val="EndnoteReference"/>
        </w:rPr>
        <w:endnoteReference w:id="88"/>
      </w:r>
      <w:r w:rsidRPr="00177BF1">
        <w:t xml:space="preserve">  </w:t>
      </w:r>
    </w:p>
    <w:p w14:paraId="0EBA12CA" w14:textId="77777777" w:rsidR="00AB6644" w:rsidRPr="00177BF1" w:rsidRDefault="002A0CF2" w:rsidP="00701582">
      <w:pPr>
        <w:pStyle w:val="ListParagraph"/>
        <w:numPr>
          <w:ilvl w:val="3"/>
          <w:numId w:val="32"/>
        </w:numPr>
      </w:pPr>
      <w:r w:rsidRPr="00177BF1">
        <w:t>Many mutations are conditionally pathogenic.</w:t>
      </w:r>
    </w:p>
    <w:p w14:paraId="35FC6CC5" w14:textId="77777777" w:rsidR="00AB6644" w:rsidRPr="00177BF1" w:rsidRDefault="002A0CF2" w:rsidP="00701582">
      <w:pPr>
        <w:pStyle w:val="ListParagraph"/>
        <w:numPr>
          <w:ilvl w:val="3"/>
          <w:numId w:val="32"/>
        </w:numPr>
      </w:pPr>
      <w:r w:rsidRPr="00177BF1">
        <w:t>The mutation alone is insufficient to cause the disease but interaction between modifier genes and the environment are key components that result in pathogenicity.</w:t>
      </w:r>
      <w:r w:rsidRPr="00177BF1">
        <w:rPr>
          <w:rStyle w:val="EndnoteReference"/>
        </w:rPr>
        <w:endnoteReference w:id="89"/>
      </w:r>
      <w:r w:rsidRPr="00177BF1">
        <w:t xml:space="preserve">  </w:t>
      </w:r>
    </w:p>
    <w:p w14:paraId="386A45AE" w14:textId="77777777" w:rsidR="00177BF1" w:rsidRDefault="002A0CF2" w:rsidP="00701582">
      <w:pPr>
        <w:pStyle w:val="ListParagraph"/>
        <w:numPr>
          <w:ilvl w:val="2"/>
          <w:numId w:val="32"/>
        </w:numPr>
      </w:pPr>
      <w:r w:rsidRPr="00177BF1">
        <w:t xml:space="preserve">Individuals may carry hundreds of potentially disadvantageous variants without adverse health effects, which further undermines the presumption that one variant alone causes the disease, and that modifying one variant constitutes a </w:t>
      </w:r>
      <w:proofErr w:type="gramStart"/>
      <w:r w:rsidRPr="00177BF1">
        <w:t>sufficient</w:t>
      </w:r>
      <w:proofErr w:type="gramEnd"/>
      <w:r w:rsidRPr="00177BF1">
        <w:t xml:space="preserve"> solution.</w:t>
      </w:r>
      <w:r w:rsidRPr="00177BF1">
        <w:rPr>
          <w:rStyle w:val="EndnoteReference"/>
        </w:rPr>
        <w:endnoteReference w:id="90"/>
      </w:r>
      <w:r w:rsidRPr="00177BF1">
        <w:t xml:space="preserve">  </w:t>
      </w:r>
    </w:p>
    <w:p w14:paraId="0B136D7A" w14:textId="77777777" w:rsidR="00177BF1" w:rsidRDefault="00177BF1" w:rsidP="00177BF1">
      <w:pPr>
        <w:pStyle w:val="ListParagraph"/>
        <w:ind w:left="1800"/>
      </w:pPr>
    </w:p>
    <w:p w14:paraId="6E9E6890" w14:textId="6569899F" w:rsidR="00857B5C" w:rsidRPr="00BA310C" w:rsidRDefault="00575194" w:rsidP="00701582">
      <w:pPr>
        <w:pStyle w:val="ListParagraph"/>
        <w:numPr>
          <w:ilvl w:val="1"/>
          <w:numId w:val="32"/>
        </w:numPr>
        <w:rPr>
          <w:b/>
        </w:rPr>
      </w:pPr>
      <w:r w:rsidRPr="00BA310C">
        <w:rPr>
          <w:b/>
        </w:rPr>
        <w:t xml:space="preserve">Scientific evidence does not support using </w:t>
      </w:r>
      <w:r w:rsidR="00177BF1" w:rsidRPr="00BA310C">
        <w:rPr>
          <w:b/>
        </w:rPr>
        <w:t xml:space="preserve">MRT or </w:t>
      </w:r>
      <w:r w:rsidRPr="00BA310C">
        <w:rPr>
          <w:b/>
        </w:rPr>
        <w:t xml:space="preserve">Genome Editing as means to treat infertility.  </w:t>
      </w:r>
    </w:p>
    <w:p w14:paraId="2B472635" w14:textId="77777777" w:rsidR="00177BF1" w:rsidRDefault="00177BF1" w:rsidP="00701582">
      <w:pPr>
        <w:pStyle w:val="ListParagraph"/>
        <w:numPr>
          <w:ilvl w:val="2"/>
          <w:numId w:val="32"/>
        </w:numPr>
      </w:pPr>
      <w:r w:rsidRPr="00177BF1">
        <w:t xml:space="preserve">Infertility </w:t>
      </w:r>
      <w:r>
        <w:t>is indeed a health problem, affecting</w:t>
      </w:r>
      <w:r w:rsidRPr="00177BF1">
        <w:t xml:space="preserve"> both fema</w:t>
      </w:r>
      <w:r>
        <w:t>les and males and</w:t>
      </w:r>
      <w:r w:rsidRPr="00177BF1">
        <w:t xml:space="preserve"> impacting 12-25% of the population.</w:t>
      </w:r>
      <w:r w:rsidRPr="00177BF1">
        <w:rPr>
          <w:rStyle w:val="EndnoteReference"/>
        </w:rPr>
        <w:endnoteReference w:id="91"/>
      </w:r>
      <w:r w:rsidRPr="00177BF1">
        <w:t xml:space="preserve">  </w:t>
      </w:r>
    </w:p>
    <w:p w14:paraId="3F044442" w14:textId="7146CAC7" w:rsidR="00177BF1" w:rsidRDefault="00177BF1" w:rsidP="00701582">
      <w:pPr>
        <w:pStyle w:val="ListParagraph"/>
        <w:numPr>
          <w:ilvl w:val="2"/>
          <w:numId w:val="32"/>
        </w:numPr>
      </w:pPr>
      <w:r w:rsidRPr="00177BF1">
        <w:lastRenderedPageBreak/>
        <w:t>R</w:t>
      </w:r>
      <w:r w:rsidR="00575194" w:rsidRPr="00177BF1">
        <w:t>ising rates of impaired fertility are likely due to a variety of complex environmental and lifestyle causes including aging, not inherent genetic flaws.</w:t>
      </w:r>
      <w:r w:rsidR="00575194" w:rsidRPr="00177BF1">
        <w:rPr>
          <w:vertAlign w:val="superscript"/>
        </w:rPr>
        <w:endnoteReference w:id="92"/>
      </w:r>
      <w:r w:rsidR="00575194" w:rsidRPr="00177BF1">
        <w:t xml:space="preserve">  </w:t>
      </w:r>
      <w:r w:rsidR="00387D38">
        <w:t>R</w:t>
      </w:r>
      <w:r w:rsidR="00575194" w:rsidRPr="00177BF1">
        <w:t>esearch suggests a connection between infertility and rising rates of other diseases such as reproductive abnormalities, endocrine disorders, and cancer</w:t>
      </w:r>
      <w:r>
        <w:t xml:space="preserve"> in both males and females</w:t>
      </w:r>
      <w:r w:rsidR="00575194" w:rsidRPr="00177BF1">
        <w:t>.</w:t>
      </w:r>
      <w:r w:rsidR="00575194" w:rsidRPr="00177BF1">
        <w:rPr>
          <w:rStyle w:val="EndnoteReference"/>
        </w:rPr>
        <w:endnoteReference w:id="93"/>
      </w:r>
      <w:r w:rsidR="00575194" w:rsidRPr="00177BF1">
        <w:t xml:space="preserve">  </w:t>
      </w:r>
    </w:p>
    <w:p w14:paraId="19AB2A22" w14:textId="77777777" w:rsidR="00CD1805" w:rsidRDefault="00575194" w:rsidP="00701582">
      <w:pPr>
        <w:pStyle w:val="ListParagraph"/>
        <w:numPr>
          <w:ilvl w:val="2"/>
          <w:numId w:val="32"/>
        </w:numPr>
      </w:pPr>
      <w:r w:rsidRPr="00177BF1">
        <w:t>In addition to the impact of lifestyle factors</w:t>
      </w:r>
      <w:r w:rsidRPr="00177BF1">
        <w:rPr>
          <w:rStyle w:val="EndnoteReference"/>
        </w:rPr>
        <w:endnoteReference w:id="94"/>
      </w:r>
      <w:r w:rsidRPr="00177BF1">
        <w:t xml:space="preserve"> such as level of activity, exercise, diet, sleep and stress, research implicates chemical exposures as a factor contributing to both the decline in fertility and reproductive disorders.  A variety of environmental toxicants including pesticides, PCBs, phthalates, parabens, and Bisphenol A present in our daily environment </w:t>
      </w:r>
      <w:r w:rsidR="00177BF1">
        <w:t>may adversely affect our health, including fertility</w:t>
      </w:r>
      <w:r w:rsidRPr="00177BF1">
        <w:t>.</w:t>
      </w:r>
      <w:r w:rsidRPr="00177BF1">
        <w:rPr>
          <w:vertAlign w:val="superscript"/>
        </w:rPr>
        <w:endnoteReference w:id="95"/>
      </w:r>
      <w:r w:rsidRPr="00177BF1">
        <w:t xml:space="preserve"> </w:t>
      </w:r>
    </w:p>
    <w:p w14:paraId="7393553A" w14:textId="2B4BE55F" w:rsidR="00575194" w:rsidRPr="00CD1805" w:rsidRDefault="00177BF1" w:rsidP="00701582">
      <w:pPr>
        <w:pStyle w:val="ListParagraph"/>
        <w:numPr>
          <w:ilvl w:val="2"/>
          <w:numId w:val="32"/>
        </w:numPr>
      </w:pPr>
      <w:r w:rsidRPr="00CD1805">
        <w:t>MRT and</w:t>
      </w:r>
      <w:r w:rsidR="00575194" w:rsidRPr="00CD1805">
        <w:t xml:space="preserve"> </w:t>
      </w:r>
      <w:r w:rsidRPr="00CD1805">
        <w:t>Genome E</w:t>
      </w:r>
      <w:r w:rsidR="00575194" w:rsidRPr="00CD1805">
        <w:t xml:space="preserve">diting </w:t>
      </w:r>
      <w:r w:rsidRPr="00CD1805">
        <w:t>does not</w:t>
      </w:r>
      <w:r w:rsidR="00575194" w:rsidRPr="00CD1805">
        <w:t xml:space="preserve"> address the fundamental causes of </w:t>
      </w:r>
      <w:r w:rsidRPr="00CD1805">
        <w:t xml:space="preserve">infertility and increases in endocrine disorders and cancer. </w:t>
      </w:r>
      <w:r w:rsidR="00575194" w:rsidRPr="00CD1805">
        <w:t>Population level increases in infertility constitutes a warning, signaling lifestyle and environmental factors are threatening both human reproduction and health outcomes, which cannot be addressed b</w:t>
      </w:r>
      <w:r w:rsidRPr="00CD1805">
        <w:t xml:space="preserve">y modifying a </w:t>
      </w:r>
      <w:proofErr w:type="gramStart"/>
      <w:r w:rsidRPr="00CD1805">
        <w:t>particular gene</w:t>
      </w:r>
      <w:proofErr w:type="gramEnd"/>
      <w:r w:rsidRPr="00CD1805">
        <w:t xml:space="preserve"> or manipulating an embryo.</w:t>
      </w:r>
    </w:p>
    <w:p w14:paraId="27E29A87" w14:textId="77777777" w:rsidR="00575194" w:rsidRPr="00177BF1" w:rsidRDefault="00575194" w:rsidP="00177BF1">
      <w:pPr>
        <w:pStyle w:val="NoSpacing"/>
        <w:ind w:left="360"/>
        <w:rPr>
          <w:rFonts w:ascii="Times New Roman" w:hAnsi="Times New Roman" w:cs="Times New Roman"/>
          <w:sz w:val="24"/>
          <w:szCs w:val="24"/>
        </w:rPr>
      </w:pPr>
    </w:p>
    <w:p w14:paraId="55551FF9" w14:textId="0A2B53E3" w:rsidR="0025260C" w:rsidRDefault="0025260C" w:rsidP="00F5169D">
      <w:pPr>
        <w:pStyle w:val="NoSpacing"/>
        <w:rPr>
          <w:rFonts w:ascii="Times New Roman" w:hAnsi="Times New Roman" w:cs="Times New Roman"/>
          <w:sz w:val="24"/>
          <w:szCs w:val="24"/>
        </w:rPr>
      </w:pPr>
    </w:p>
    <w:p w14:paraId="42258CD8" w14:textId="792C14A1" w:rsidR="008A11B2" w:rsidRPr="00F239C5" w:rsidRDefault="00E01A2C" w:rsidP="00BC38B4">
      <w:pPr>
        <w:pStyle w:val="NoSpacing"/>
        <w:rPr>
          <w:rFonts w:ascii="Times New Roman" w:hAnsi="Times New Roman"/>
          <w:b/>
          <w:i/>
          <w:iCs/>
          <w:sz w:val="24"/>
          <w:szCs w:val="24"/>
        </w:rPr>
      </w:pPr>
      <w:r w:rsidRPr="00F239C5">
        <w:rPr>
          <w:rFonts w:ascii="Times New Roman" w:hAnsi="Times New Roman"/>
          <w:b/>
          <w:i/>
          <w:iCs/>
          <w:sz w:val="24"/>
          <w:szCs w:val="24"/>
        </w:rPr>
        <w:t>CONCLUSION</w:t>
      </w:r>
      <w:r w:rsidR="00F239C5">
        <w:rPr>
          <w:rFonts w:ascii="Times New Roman" w:hAnsi="Times New Roman"/>
          <w:b/>
          <w:i/>
          <w:iCs/>
          <w:sz w:val="24"/>
          <w:szCs w:val="24"/>
        </w:rPr>
        <w:t>:</w:t>
      </w:r>
    </w:p>
    <w:p w14:paraId="2E9C01B7" w14:textId="77777777" w:rsidR="00BC38B4" w:rsidRPr="00BC38B4" w:rsidRDefault="00BC38B4" w:rsidP="00BC38B4">
      <w:pPr>
        <w:pStyle w:val="NoSpacing"/>
        <w:rPr>
          <w:rFonts w:ascii="Times New Roman" w:hAnsi="Times New Roman"/>
          <w:sz w:val="24"/>
          <w:szCs w:val="24"/>
        </w:rPr>
      </w:pPr>
    </w:p>
    <w:p w14:paraId="5518EB5A" w14:textId="63B9A85D" w:rsidR="00E32EAC" w:rsidRDefault="00E32EAC" w:rsidP="00E32EAC">
      <w:pPr>
        <w:pStyle w:val="NoSpacing"/>
        <w:rPr>
          <w:rFonts w:ascii="Times New Roman" w:hAnsi="Times New Roman"/>
          <w:b/>
          <w:sz w:val="24"/>
          <w:szCs w:val="24"/>
        </w:rPr>
      </w:pPr>
      <w:r w:rsidRPr="00E61615">
        <w:rPr>
          <w:rFonts w:ascii="Times New Roman" w:hAnsi="Times New Roman"/>
          <w:b/>
          <w:sz w:val="24"/>
          <w:szCs w:val="24"/>
        </w:rPr>
        <w:t xml:space="preserve">Based on global legal consensus against germline modification of human embryos and scientific evidence demonstrating serious risks of </w:t>
      </w:r>
      <w:r>
        <w:rPr>
          <w:rFonts w:ascii="Times New Roman" w:hAnsi="Times New Roman"/>
          <w:b/>
          <w:sz w:val="24"/>
          <w:szCs w:val="24"/>
        </w:rPr>
        <w:t>Mitochondrial Replacement Therapy and Human Genome Editing, the Congressional Appropriations Committee should retain Section 733</w:t>
      </w:r>
      <w:r w:rsidR="00D721AC">
        <w:rPr>
          <w:rFonts w:ascii="Times New Roman" w:hAnsi="Times New Roman"/>
          <w:b/>
          <w:sz w:val="24"/>
          <w:szCs w:val="24"/>
        </w:rPr>
        <w:t xml:space="preserve"> </w:t>
      </w:r>
      <w:r w:rsidR="00D721AC">
        <w:rPr>
          <w:rFonts w:ascii="Times New Roman" w:hAnsi="Times New Roman"/>
          <w:b/>
          <w:sz w:val="24"/>
          <w:szCs w:val="24"/>
        </w:rPr>
        <w:t>without modification</w:t>
      </w:r>
      <w:r>
        <w:rPr>
          <w:rFonts w:ascii="Times New Roman" w:hAnsi="Times New Roman"/>
          <w:b/>
          <w:sz w:val="24"/>
          <w:szCs w:val="24"/>
        </w:rPr>
        <w:t>.</w:t>
      </w:r>
    </w:p>
    <w:p w14:paraId="4A00CB26" w14:textId="760755AA" w:rsidR="00701582" w:rsidRDefault="00E32EAC">
      <w:pPr>
        <w:spacing w:after="160" w:line="259" w:lineRule="auto"/>
        <w:rPr>
          <w:rFonts w:eastAsiaTheme="minorHAnsi" w:cstheme="minorBidi"/>
        </w:rPr>
      </w:pPr>
      <w:r>
        <w:rPr>
          <w:b/>
        </w:rPr>
        <w:br w:type="page"/>
      </w:r>
    </w:p>
    <w:p w14:paraId="4B58D9AB" w14:textId="240C9D6A" w:rsidR="00150473" w:rsidRPr="00701582" w:rsidRDefault="00701582" w:rsidP="00701582">
      <w:pPr>
        <w:spacing w:after="160" w:line="259" w:lineRule="auto"/>
        <w:jc w:val="center"/>
        <w:rPr>
          <w:rFonts w:eastAsiaTheme="minorHAnsi" w:cstheme="minorBidi"/>
          <w:b/>
          <w:sz w:val="32"/>
          <w:szCs w:val="32"/>
        </w:rPr>
      </w:pPr>
      <w:r w:rsidRPr="00701582">
        <w:rPr>
          <w:rFonts w:eastAsiaTheme="minorHAnsi" w:cstheme="minorBidi"/>
          <w:b/>
          <w:sz w:val="32"/>
          <w:szCs w:val="32"/>
        </w:rPr>
        <w:lastRenderedPageBreak/>
        <w:t>REFERENCES</w:t>
      </w:r>
    </w:p>
    <w:sectPr w:rsidR="00150473" w:rsidRPr="00701582" w:rsidSect="001F33EE">
      <w:footerReference w:type="default" r:id="rId10"/>
      <w:endnotePr>
        <w:numFmt w:val="decimal"/>
      </w:endnotePr>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0EBF4" w14:textId="77777777" w:rsidR="00A47BEC" w:rsidRDefault="00A47BEC" w:rsidP="00A66339">
      <w:r>
        <w:separator/>
      </w:r>
    </w:p>
  </w:endnote>
  <w:endnote w:type="continuationSeparator" w:id="0">
    <w:p w14:paraId="28C4222E" w14:textId="77777777" w:rsidR="00A47BEC" w:rsidRDefault="00A47BEC" w:rsidP="00A66339">
      <w:r>
        <w:continuationSeparator/>
      </w:r>
    </w:p>
  </w:endnote>
  <w:endnote w:id="1">
    <w:p w14:paraId="6B5B7ED1" w14:textId="4EDF7BE6" w:rsidR="00421D69" w:rsidRPr="00E61615" w:rsidRDefault="00421D69" w:rsidP="00701582">
      <w:pPr>
        <w:widowControl w:val="0"/>
        <w:overflowPunct w:val="0"/>
        <w:autoSpaceDE w:val="0"/>
        <w:autoSpaceDN w:val="0"/>
        <w:adjustRightInd w:val="0"/>
        <w:outlineLvl w:val="0"/>
        <w:rPr>
          <w:sz w:val="20"/>
          <w:szCs w:val="20"/>
        </w:rPr>
      </w:pPr>
      <w:r w:rsidRPr="00E61615">
        <w:rPr>
          <w:rStyle w:val="EndnoteReference"/>
          <w:sz w:val="20"/>
          <w:szCs w:val="20"/>
        </w:rPr>
        <w:endnoteRef/>
      </w:r>
      <w:r w:rsidRPr="00E61615">
        <w:rPr>
          <w:sz w:val="20"/>
          <w:szCs w:val="20"/>
        </w:rPr>
        <w:t xml:space="preserve"> Katherine </w:t>
      </w:r>
      <w:r w:rsidRPr="00E61615">
        <w:rPr>
          <w:bCs/>
          <w:kern w:val="28"/>
          <w:sz w:val="20"/>
          <w:szCs w:val="20"/>
        </w:rPr>
        <w:t xml:space="preserve">Drabiak, </w:t>
      </w:r>
      <w:r w:rsidRPr="00D56BBF">
        <w:rPr>
          <w:bCs/>
          <w:kern w:val="28"/>
          <w:sz w:val="20"/>
          <w:szCs w:val="20"/>
        </w:rPr>
        <w:t>Untangling the Promises of Human Genome Editing</w:t>
      </w:r>
      <w:r w:rsidRPr="00E61615">
        <w:rPr>
          <w:bCs/>
          <w:kern w:val="28"/>
          <w:sz w:val="20"/>
          <w:szCs w:val="20"/>
        </w:rPr>
        <w:t xml:space="preserve">, </w:t>
      </w:r>
      <w:r>
        <w:rPr>
          <w:bCs/>
          <w:kern w:val="28"/>
          <w:sz w:val="20"/>
          <w:szCs w:val="20"/>
        </w:rPr>
        <w:t xml:space="preserve">46 </w:t>
      </w:r>
      <w:r w:rsidRPr="00E61615">
        <w:rPr>
          <w:bCs/>
          <w:smallCaps/>
          <w:kern w:val="28"/>
          <w:sz w:val="20"/>
          <w:szCs w:val="20"/>
        </w:rPr>
        <w:t>Journal of Law, Medicine &amp; Ethics</w:t>
      </w:r>
      <w:r w:rsidRPr="00E61615">
        <w:rPr>
          <w:bCs/>
          <w:kern w:val="28"/>
          <w:sz w:val="20"/>
          <w:szCs w:val="20"/>
        </w:rPr>
        <w:t xml:space="preserve">, </w:t>
      </w:r>
      <w:r w:rsidRPr="00BE5D42">
        <w:rPr>
          <w:bCs/>
          <w:kern w:val="28"/>
          <w:sz w:val="20"/>
          <w:szCs w:val="20"/>
        </w:rPr>
        <w:t>991 (2018);</w:t>
      </w:r>
      <w:r w:rsidRPr="00E61615">
        <w:rPr>
          <w:bCs/>
          <w:kern w:val="28"/>
          <w:sz w:val="20"/>
          <w:szCs w:val="20"/>
        </w:rPr>
        <w:t xml:space="preserve"> Katherine </w:t>
      </w:r>
      <w:r w:rsidRPr="00E61615">
        <w:rPr>
          <w:kern w:val="28"/>
          <w:sz w:val="20"/>
          <w:szCs w:val="20"/>
        </w:rPr>
        <w:t xml:space="preserve">Drabiak, </w:t>
      </w:r>
      <w:r w:rsidRPr="00BE5D42">
        <w:rPr>
          <w:kern w:val="28"/>
          <w:sz w:val="20"/>
          <w:szCs w:val="20"/>
        </w:rPr>
        <w:t>Emerging Governance of Mitochondrial Replacement Therapy: Assessing Coherence Between Scientific Evidence and Policy Outcomes</w:t>
      </w:r>
      <w:r w:rsidRPr="00E61615">
        <w:rPr>
          <w:kern w:val="28"/>
          <w:sz w:val="20"/>
          <w:szCs w:val="20"/>
        </w:rPr>
        <w:t xml:space="preserve">, 20 </w:t>
      </w:r>
      <w:r w:rsidRPr="00E61615">
        <w:rPr>
          <w:smallCaps/>
          <w:kern w:val="28"/>
          <w:sz w:val="20"/>
          <w:szCs w:val="20"/>
        </w:rPr>
        <w:t>journal of health care law</w:t>
      </w:r>
      <w:r>
        <w:rPr>
          <w:kern w:val="28"/>
          <w:sz w:val="20"/>
          <w:szCs w:val="20"/>
        </w:rPr>
        <w:t xml:space="preserve">, </w:t>
      </w:r>
      <w:r w:rsidR="003E549C">
        <w:rPr>
          <w:kern w:val="28"/>
          <w:sz w:val="20"/>
          <w:szCs w:val="20"/>
        </w:rPr>
        <w:t>1</w:t>
      </w:r>
      <w:r>
        <w:rPr>
          <w:kern w:val="28"/>
          <w:sz w:val="20"/>
          <w:szCs w:val="20"/>
        </w:rPr>
        <w:t xml:space="preserve"> (2018); Katherine Drabiak, </w:t>
      </w:r>
      <w:r w:rsidRPr="00D56BBF">
        <w:rPr>
          <w:kern w:val="28"/>
          <w:sz w:val="20"/>
          <w:szCs w:val="20"/>
        </w:rPr>
        <w:t xml:space="preserve">Engineering Consensus in the Development of Genome Editing Policy, </w:t>
      </w:r>
      <w:r w:rsidRPr="00D56BBF">
        <w:rPr>
          <w:smallCaps/>
          <w:kern w:val="28"/>
          <w:sz w:val="20"/>
          <w:szCs w:val="20"/>
        </w:rPr>
        <w:t>The Hastings Center Bioethics Forum</w:t>
      </w:r>
      <w:r w:rsidRPr="00D56BBF">
        <w:rPr>
          <w:kern w:val="28"/>
          <w:sz w:val="20"/>
          <w:szCs w:val="20"/>
        </w:rPr>
        <w:t>, March 14, 2017.</w:t>
      </w:r>
    </w:p>
  </w:endnote>
  <w:endnote w:id="2">
    <w:p w14:paraId="301D058C" w14:textId="77582E6E" w:rsidR="00421D69" w:rsidRDefault="00421D69" w:rsidP="00701582">
      <w:pPr>
        <w:pStyle w:val="EndnoteText"/>
      </w:pPr>
      <w:r>
        <w:rPr>
          <w:rStyle w:val="EndnoteReference"/>
        </w:rPr>
        <w:endnoteRef/>
      </w:r>
      <w:r>
        <w:t xml:space="preserve"> </w:t>
      </w:r>
      <w:r w:rsidR="00E32EAC" w:rsidRPr="00E64372">
        <w:rPr>
          <w:sz w:val="24"/>
          <w:szCs w:val="24"/>
          <w:shd w:val="clear" w:color="auto" w:fill="FFFFFF"/>
        </w:rPr>
        <w:t>Civil Society Statement to the Organizers of the Second International Summit on Human Genome Editing</w:t>
      </w:r>
      <w:r w:rsidR="00E32EAC">
        <w:rPr>
          <w:sz w:val="24"/>
          <w:szCs w:val="24"/>
          <w:shd w:val="clear" w:color="auto" w:fill="FFFFFF"/>
        </w:rPr>
        <w:t xml:space="preserve">, </w:t>
      </w:r>
      <w:r w:rsidR="00E32EAC" w:rsidRPr="00E32EAC">
        <w:rPr>
          <w:smallCaps/>
          <w:sz w:val="24"/>
          <w:szCs w:val="24"/>
          <w:shd w:val="clear" w:color="auto" w:fill="FFFFFF"/>
        </w:rPr>
        <w:t>center for genetics and society</w:t>
      </w:r>
      <w:r w:rsidR="00E32EAC">
        <w:rPr>
          <w:sz w:val="24"/>
          <w:szCs w:val="24"/>
          <w:shd w:val="clear" w:color="auto" w:fill="FFFFFF"/>
        </w:rPr>
        <w:t xml:space="preserve"> (November 8, 2018).</w:t>
      </w:r>
    </w:p>
  </w:endnote>
  <w:endnote w:id="3">
    <w:p w14:paraId="646A9BCE" w14:textId="60120167" w:rsidR="00421D69" w:rsidRDefault="00421D69" w:rsidP="00E32EAC">
      <w:pPr>
        <w:pStyle w:val="Footer"/>
      </w:pPr>
      <w:r>
        <w:rPr>
          <w:rStyle w:val="EndnoteReference"/>
        </w:rPr>
        <w:endnoteRef/>
      </w:r>
      <w:r>
        <w:t xml:space="preserve"> </w:t>
      </w:r>
      <w:r w:rsidR="00E32EAC" w:rsidRPr="006669C3">
        <w:rPr>
          <w:kern w:val="28"/>
        </w:rPr>
        <w:t>Engineering Future Generations? The New Debate about Societal Governance, Public Engagement, and Human Gene Editing for Reproduction</w:t>
      </w:r>
      <w:r w:rsidR="00E32EAC">
        <w:rPr>
          <w:kern w:val="28"/>
        </w:rPr>
        <w:t xml:space="preserve">, </w:t>
      </w:r>
      <w:proofErr w:type="spellStart"/>
      <w:r w:rsidR="00E32EAC" w:rsidRPr="00E32EAC">
        <w:rPr>
          <w:smallCaps/>
          <w:kern w:val="28"/>
        </w:rPr>
        <w:t>Brocher</w:t>
      </w:r>
      <w:proofErr w:type="spellEnd"/>
      <w:r w:rsidR="00E32EAC" w:rsidRPr="00E32EAC">
        <w:rPr>
          <w:smallCaps/>
          <w:kern w:val="28"/>
        </w:rPr>
        <w:t xml:space="preserve"> Foundation</w:t>
      </w:r>
      <w:r w:rsidR="00E32EAC">
        <w:rPr>
          <w:kern w:val="28"/>
        </w:rPr>
        <w:t xml:space="preserve">, </w:t>
      </w:r>
      <w:proofErr w:type="spellStart"/>
      <w:r w:rsidR="00E32EAC">
        <w:rPr>
          <w:kern w:val="28"/>
        </w:rPr>
        <w:t>Hermance</w:t>
      </w:r>
      <w:proofErr w:type="spellEnd"/>
      <w:r w:rsidR="00E32EAC">
        <w:rPr>
          <w:kern w:val="28"/>
        </w:rPr>
        <w:t>, Switzerland (2019).</w:t>
      </w:r>
    </w:p>
  </w:endnote>
  <w:endnote w:id="4">
    <w:p w14:paraId="16958D45" w14:textId="77777777" w:rsidR="00421D69" w:rsidRPr="00E61615" w:rsidRDefault="00421D69" w:rsidP="002F7FD3">
      <w:pPr>
        <w:pStyle w:val="EndnoteText"/>
      </w:pPr>
      <w:r w:rsidRPr="00E61615">
        <w:rPr>
          <w:rStyle w:val="EndnoteReference"/>
        </w:rPr>
        <w:endnoteRef/>
      </w:r>
      <w:r w:rsidRPr="00E61615">
        <w:t xml:space="preserve"> Article 9, Directive 2001/20/EC, </w:t>
      </w:r>
      <w:r w:rsidRPr="00E61615">
        <w:rPr>
          <w:smallCaps/>
        </w:rPr>
        <w:t>Council of Europe</w:t>
      </w:r>
      <w:r w:rsidRPr="00E61615">
        <w:t xml:space="preserve"> (2001), http://ec.europa.eu/health//sites/health/files/files/eudralex/vol-1/dir_2001_20/dir_2001_20_en.pdf.</w:t>
      </w:r>
    </w:p>
  </w:endnote>
  <w:endnote w:id="5">
    <w:p w14:paraId="5E9394AB" w14:textId="77777777" w:rsidR="00421D69" w:rsidRPr="00E61615" w:rsidRDefault="00421D69" w:rsidP="002F7FD3">
      <w:pPr>
        <w:pStyle w:val="EndnoteText"/>
      </w:pPr>
      <w:r w:rsidRPr="00E61615">
        <w:rPr>
          <w:rStyle w:val="EndnoteReference"/>
        </w:rPr>
        <w:endnoteRef/>
      </w:r>
      <w:r w:rsidRPr="00E61615">
        <w:t xml:space="preserve"> Tetsuya Ishii, Potential Impact of Human Mitochondrial Replacement on Global Policy Regarding Germline Gene Modification, 29 </w:t>
      </w:r>
      <w:r w:rsidRPr="00E61615">
        <w:rPr>
          <w:smallCaps/>
        </w:rPr>
        <w:t>Reproductive Biomedicine Online</w:t>
      </w:r>
      <w:r w:rsidRPr="00E61615">
        <w:t xml:space="preserve"> 150, 152-153 (2014); Motoko Araki &amp; Tetsuya Ishii, International Regulatory Landscape and Integration of Corrective Genome Editing Into In Vitro Fertilization, 12(108) </w:t>
      </w:r>
      <w:r w:rsidRPr="00E61615">
        <w:rPr>
          <w:smallCaps/>
        </w:rPr>
        <w:t>Reproductive Biology and Endocrinology</w:t>
      </w:r>
      <w:r w:rsidRPr="00E61615">
        <w:t xml:space="preserve"> 9 (2014); Rosario </w:t>
      </w:r>
      <w:proofErr w:type="spellStart"/>
      <w:r w:rsidRPr="00E61615">
        <w:t>Isasi</w:t>
      </w:r>
      <w:proofErr w:type="spellEnd"/>
      <w:r w:rsidRPr="00E61615">
        <w:t xml:space="preserve"> et al., Editing Policy to Fit the Genome? 351 </w:t>
      </w:r>
      <w:r w:rsidRPr="00E61615">
        <w:rPr>
          <w:smallCaps/>
        </w:rPr>
        <w:t>Science</w:t>
      </w:r>
      <w:r w:rsidRPr="00E61615">
        <w:t xml:space="preserve"> 337 (2016).  </w:t>
      </w:r>
      <w:r w:rsidRPr="00BE2E47">
        <w:rPr>
          <w:i/>
          <w:iCs/>
        </w:rPr>
        <w:t>See</w:t>
      </w:r>
      <w:r w:rsidRPr="00E61615">
        <w:t xml:space="preserve"> Araki &amp; Ishii at Table S1: Policies on Human Germline Gene Modification for Reproduction Excluding Reproductive Cloning.</w:t>
      </w:r>
    </w:p>
  </w:endnote>
  <w:endnote w:id="6">
    <w:p w14:paraId="5EBB42E7" w14:textId="77777777" w:rsidR="00421D69" w:rsidRPr="00E61615" w:rsidRDefault="00421D69" w:rsidP="002F7FD3">
      <w:pPr>
        <w:pStyle w:val="EndnoteText"/>
      </w:pPr>
      <w:r w:rsidRPr="00E61615">
        <w:rPr>
          <w:rStyle w:val="EndnoteReference"/>
        </w:rPr>
        <w:endnoteRef/>
      </w:r>
      <w:r w:rsidRPr="00E61615">
        <w:t xml:space="preserve"> Assisted Human Reproduction Act s. 5 (2004); Assisted Human Reproduction Act s. 60 (2004).</w:t>
      </w:r>
    </w:p>
  </w:endnote>
  <w:endnote w:id="7">
    <w:p w14:paraId="51028F81" w14:textId="77777777" w:rsidR="00421D69" w:rsidRPr="00E61615" w:rsidRDefault="00421D69" w:rsidP="002F7FD3">
      <w:pPr>
        <w:pStyle w:val="EndnoteText"/>
      </w:pPr>
      <w:r w:rsidRPr="00E61615">
        <w:rPr>
          <w:rStyle w:val="EndnoteReference"/>
        </w:rPr>
        <w:endnoteRef/>
      </w:r>
      <w:r w:rsidRPr="00E61615">
        <w:t xml:space="preserve"> Embryo Protection Act, Federal Law Gazette, Part I, No.69 (1990). </w:t>
      </w:r>
    </w:p>
  </w:endnote>
  <w:endnote w:id="8">
    <w:p w14:paraId="6A481DCE" w14:textId="16A5ED34" w:rsidR="00421D69" w:rsidRPr="00E61615" w:rsidRDefault="00421D69" w:rsidP="002F7FD3">
      <w:pPr>
        <w:pStyle w:val="EndnoteText"/>
      </w:pPr>
      <w:r w:rsidRPr="00E61615">
        <w:rPr>
          <w:rStyle w:val="EndnoteReference"/>
        </w:rPr>
        <w:endnoteRef/>
      </w:r>
      <w:r w:rsidRPr="00E61615">
        <w:t xml:space="preserve"> Research on Embryos, Bioethics Law, Code of Public Health. Article L2151-5 (2011); Absolute Prohibition on Creating Transgenic Embryos and Chimeras, Bioethics Law, Code of Public Health. Article L2151-2 (2011</w:t>
      </w:r>
      <w:r w:rsidR="00E32EAC">
        <w:t>)</w:t>
      </w:r>
      <w:r w:rsidRPr="00E61615">
        <w:t>.</w:t>
      </w:r>
    </w:p>
  </w:endnote>
  <w:endnote w:id="9">
    <w:p w14:paraId="6BAC4EC9" w14:textId="77777777" w:rsidR="00421D69" w:rsidRPr="00E61615" w:rsidRDefault="00421D69" w:rsidP="002F7FD3">
      <w:pPr>
        <w:pStyle w:val="EndnoteText"/>
      </w:pPr>
      <w:r w:rsidRPr="00E61615">
        <w:rPr>
          <w:rStyle w:val="EndnoteReference"/>
        </w:rPr>
        <w:endnoteRef/>
      </w:r>
      <w:r w:rsidRPr="00E61615">
        <w:t xml:space="preserve"> Article 35, Federal Act on Medically Assisted Reproduction, Federal Assembly of the Swiss Confederation (1998). </w:t>
      </w:r>
    </w:p>
  </w:endnote>
  <w:endnote w:id="10">
    <w:p w14:paraId="4C5764E3" w14:textId="77777777" w:rsidR="00421D69" w:rsidRPr="00E61615" w:rsidRDefault="00421D69" w:rsidP="002F7FD3">
      <w:pPr>
        <w:pStyle w:val="EndnoteText"/>
      </w:pPr>
      <w:r w:rsidRPr="00E61615">
        <w:rPr>
          <w:rStyle w:val="EndnoteReference"/>
        </w:rPr>
        <w:endnoteRef/>
      </w:r>
      <w:r w:rsidRPr="00E61615">
        <w:t xml:space="preserve"> </w:t>
      </w:r>
      <w:r w:rsidRPr="00E61615">
        <w:rPr>
          <w:i/>
        </w:rPr>
        <w:t>See</w:t>
      </w:r>
      <w:r w:rsidRPr="00E61615">
        <w:t xml:space="preserve"> Sections 3-4, The Genetic Integrity Act, Swedish Code of Statutes no.2006:351 (2006).</w:t>
      </w:r>
    </w:p>
  </w:endnote>
  <w:endnote w:id="11">
    <w:p w14:paraId="4FC639A5" w14:textId="77777777" w:rsidR="00421D69" w:rsidRPr="00E61615" w:rsidRDefault="00421D69" w:rsidP="002F7FD3">
      <w:pPr>
        <w:pStyle w:val="EndnoteText"/>
      </w:pPr>
      <w:r w:rsidRPr="00E61615">
        <w:rPr>
          <w:rStyle w:val="EndnoteReference"/>
        </w:rPr>
        <w:endnoteRef/>
      </w:r>
      <w:r w:rsidRPr="00E61615">
        <w:t xml:space="preserve"> Article 13, Rules of Medically Assisted Procreation, No. 40 (2004). </w:t>
      </w:r>
    </w:p>
  </w:endnote>
  <w:endnote w:id="12">
    <w:p w14:paraId="029E5F57" w14:textId="04BC5CB5" w:rsidR="00421D69" w:rsidRPr="00E61615" w:rsidRDefault="00421D69" w:rsidP="002F7FD3">
      <w:pPr>
        <w:pStyle w:val="EndnoteText"/>
      </w:pPr>
      <w:r w:rsidRPr="00E61615">
        <w:rPr>
          <w:rStyle w:val="EndnoteReference"/>
        </w:rPr>
        <w:endnoteRef/>
      </w:r>
      <w:r w:rsidRPr="00E61615">
        <w:t xml:space="preserve"> Some laws prohibit germline modification to any embryo, some prohibit modification for implantable embryos. </w:t>
      </w:r>
      <w:r w:rsidRPr="00E61615">
        <w:rPr>
          <w:i/>
        </w:rPr>
        <w:t xml:space="preserve">See </w:t>
      </w:r>
      <w:proofErr w:type="spellStart"/>
      <w:r w:rsidRPr="00E61615">
        <w:t>Isasi</w:t>
      </w:r>
      <w:proofErr w:type="spellEnd"/>
      <w:r w:rsidRPr="00E61615">
        <w:t xml:space="preserve"> et al., </w:t>
      </w:r>
      <w:r w:rsidRPr="00E61615">
        <w:rPr>
          <w:i/>
        </w:rPr>
        <w:t>supra</w:t>
      </w:r>
      <w:r w:rsidR="00E32EAC">
        <w:t xml:space="preserve"> note 5</w:t>
      </w:r>
      <w:r w:rsidRPr="00E61615">
        <w:t>.</w:t>
      </w:r>
    </w:p>
  </w:endnote>
  <w:endnote w:id="13">
    <w:p w14:paraId="41298EA8" w14:textId="0DB72A11" w:rsidR="00421D69" w:rsidRPr="007F02E9" w:rsidRDefault="00421D69" w:rsidP="002F7FD3">
      <w:pPr>
        <w:pStyle w:val="EndnoteText"/>
      </w:pPr>
      <w:r w:rsidRPr="007F02E9">
        <w:rPr>
          <w:rStyle w:val="EndnoteReference"/>
        </w:rPr>
        <w:endnoteRef/>
      </w:r>
      <w:r w:rsidRPr="007F02E9">
        <w:t xml:space="preserve"> </w:t>
      </w:r>
      <w:r w:rsidR="00E32EAC">
        <w:t xml:space="preserve">Stuart Newman, </w:t>
      </w:r>
      <w:r w:rsidR="00E32EAC" w:rsidRPr="007F02E9">
        <w:t>Averting the Clone Age: Prospects and Perils of Hu</w:t>
      </w:r>
      <w:r w:rsidR="00E32EAC">
        <w:t>man Developmental Manipulation, 19(1)</w:t>
      </w:r>
      <w:r w:rsidR="00E32EAC" w:rsidRPr="007F02E9">
        <w:t xml:space="preserve"> </w:t>
      </w:r>
      <w:r w:rsidR="00E32EAC" w:rsidRPr="00D610E0">
        <w:rPr>
          <w:smallCaps/>
        </w:rPr>
        <w:t>Journal of Contemporary Health Law &amp; Policy</w:t>
      </w:r>
      <w:r w:rsidR="00E32EAC">
        <w:t xml:space="preserve"> 431 (</w:t>
      </w:r>
      <w:r w:rsidR="00E32EAC" w:rsidRPr="007F02E9">
        <w:t>2003)</w:t>
      </w:r>
      <w:r w:rsidR="00E32EAC">
        <w:t xml:space="preserve"> </w:t>
      </w:r>
      <w:r w:rsidRPr="007F02E9">
        <w:t>at 451.</w:t>
      </w:r>
    </w:p>
  </w:endnote>
  <w:endnote w:id="14">
    <w:p w14:paraId="05DD86B3" w14:textId="5856AE94" w:rsidR="00421D69" w:rsidRPr="007F02E9" w:rsidRDefault="00421D69" w:rsidP="002F7FD3">
      <w:pPr>
        <w:pStyle w:val="EndnoteText"/>
      </w:pPr>
      <w:r w:rsidRPr="007F02E9">
        <w:rPr>
          <w:rStyle w:val="EndnoteReference"/>
        </w:rPr>
        <w:endnoteRef/>
      </w:r>
      <w:r w:rsidRPr="007F02E9">
        <w:t xml:space="preserve"> </w:t>
      </w:r>
      <w:proofErr w:type="spellStart"/>
      <w:r w:rsidR="00D610E0">
        <w:t>X</w:t>
      </w:r>
      <w:r w:rsidR="00BE2E47">
        <w:t>iangjang</w:t>
      </w:r>
      <w:proofErr w:type="spellEnd"/>
      <w:r w:rsidR="00D610E0">
        <w:t xml:space="preserve"> Kang et al., </w:t>
      </w:r>
      <w:r w:rsidR="00E32EAC" w:rsidRPr="007F02E9">
        <w:t>Introducing Precise Genetic Modifications Into Human 3PN Embryos for CRISPR/Cas-Mediated Genome Editing,</w:t>
      </w:r>
      <w:r w:rsidR="00D610E0">
        <w:t xml:space="preserve"> 33(5)</w:t>
      </w:r>
      <w:r w:rsidR="00E32EAC" w:rsidRPr="007F02E9">
        <w:t xml:space="preserve"> </w:t>
      </w:r>
      <w:r w:rsidR="00E32EAC" w:rsidRPr="00D610E0">
        <w:rPr>
          <w:smallCaps/>
        </w:rPr>
        <w:t>Journal of Assisted Reproduction and Genetics</w:t>
      </w:r>
      <w:r w:rsidR="00E32EAC" w:rsidRPr="00D610E0">
        <w:t xml:space="preserve"> </w:t>
      </w:r>
      <w:r w:rsidR="00D610E0">
        <w:t>581 (2016) at</w:t>
      </w:r>
      <w:r w:rsidR="00E32EAC">
        <w:t xml:space="preserve"> </w:t>
      </w:r>
      <w:r w:rsidRPr="007F02E9">
        <w:t xml:space="preserve">585, 587; </w:t>
      </w:r>
      <w:proofErr w:type="spellStart"/>
      <w:r w:rsidR="00D610E0">
        <w:t>U</w:t>
      </w:r>
      <w:r w:rsidR="001E3C38">
        <w:t>ros</w:t>
      </w:r>
      <w:proofErr w:type="spellEnd"/>
      <w:r w:rsidR="00D610E0">
        <w:t xml:space="preserve"> </w:t>
      </w:r>
      <w:proofErr w:type="spellStart"/>
      <w:r w:rsidR="00D610E0">
        <w:t>Midic</w:t>
      </w:r>
      <w:proofErr w:type="spellEnd"/>
      <w:r w:rsidR="00D610E0">
        <w:t xml:space="preserve"> et al., </w:t>
      </w:r>
      <w:r w:rsidR="00D610E0" w:rsidRPr="007F02E9">
        <w:t>Quantitative Assessment of Timing, Efficiency, Specificity, and Genetic Mosaicism of CRISPR-Cas9-Mediated Gene Editing of Hemoglobin Beta</w:t>
      </w:r>
      <w:r w:rsidR="00D610E0">
        <w:t xml:space="preserve"> Gene in Rhesus Monkey Embryos,</w:t>
      </w:r>
      <w:r w:rsidR="00D610E0" w:rsidRPr="007F02E9">
        <w:t xml:space="preserve"> </w:t>
      </w:r>
      <w:r w:rsidR="00D610E0">
        <w:t xml:space="preserve">26(14) </w:t>
      </w:r>
      <w:r w:rsidR="00D610E0" w:rsidRPr="00D610E0">
        <w:rPr>
          <w:smallCaps/>
        </w:rPr>
        <w:t>Human Molecular Genetics</w:t>
      </w:r>
      <w:r w:rsidR="00D610E0" w:rsidRPr="007F02E9">
        <w:t xml:space="preserve"> </w:t>
      </w:r>
      <w:r w:rsidR="00D610E0">
        <w:t xml:space="preserve">2678 (2017) </w:t>
      </w:r>
      <w:r w:rsidRPr="007F02E9">
        <w:t xml:space="preserve">at 2684; </w:t>
      </w:r>
      <w:proofErr w:type="spellStart"/>
      <w:r w:rsidR="00D610E0">
        <w:t>P</w:t>
      </w:r>
      <w:r w:rsidR="001E3C38">
        <w:t>uping</w:t>
      </w:r>
      <w:proofErr w:type="spellEnd"/>
      <w:r w:rsidR="00D610E0">
        <w:t xml:space="preserve"> Liang et al., </w:t>
      </w:r>
      <w:r w:rsidR="00D610E0" w:rsidRPr="007F02E9">
        <w:t xml:space="preserve">CRISPR-Cas9-Mediated Gene Editing in Human </w:t>
      </w:r>
      <w:proofErr w:type="spellStart"/>
      <w:r w:rsidR="00D610E0" w:rsidRPr="007F02E9">
        <w:t>Tripronuclear</w:t>
      </w:r>
      <w:proofErr w:type="spellEnd"/>
      <w:r w:rsidR="00D610E0" w:rsidRPr="007F02E9">
        <w:t xml:space="preserve"> Zygotes, </w:t>
      </w:r>
      <w:r w:rsidR="00D610E0">
        <w:t xml:space="preserve">6(5) </w:t>
      </w:r>
      <w:r w:rsidR="00D610E0" w:rsidRPr="00D610E0">
        <w:rPr>
          <w:smallCaps/>
        </w:rPr>
        <w:t>Protein Cell</w:t>
      </w:r>
      <w:r w:rsidR="00D610E0">
        <w:t xml:space="preserve"> 363 (2015) at 364</w:t>
      </w:r>
      <w:r w:rsidRPr="007F02E9">
        <w:t xml:space="preserve">; </w:t>
      </w:r>
      <w:proofErr w:type="spellStart"/>
      <w:r w:rsidR="00D610E0" w:rsidRPr="007F02E9">
        <w:t>Y</w:t>
      </w:r>
      <w:r w:rsidR="001E3C38">
        <w:t>ongchang</w:t>
      </w:r>
      <w:proofErr w:type="spellEnd"/>
      <w:r w:rsidR="00D610E0" w:rsidRPr="007F02E9">
        <w:t xml:space="preserve"> Chen et </w:t>
      </w:r>
      <w:r w:rsidR="00D610E0">
        <w:t xml:space="preserve">al., </w:t>
      </w:r>
      <w:r w:rsidR="00D610E0" w:rsidRPr="007F02E9">
        <w:t>Functional Disruption of the Dystrophin Gene in the R</w:t>
      </w:r>
      <w:r w:rsidR="00D610E0">
        <w:t>hesus Monkey Using CRIPSR/Cas9, 24(13)</w:t>
      </w:r>
      <w:r w:rsidR="00D610E0" w:rsidRPr="007F02E9">
        <w:t xml:space="preserve"> </w:t>
      </w:r>
      <w:r w:rsidR="00D610E0" w:rsidRPr="00D610E0">
        <w:rPr>
          <w:smallCaps/>
        </w:rPr>
        <w:t>Human Molecular Genetics</w:t>
      </w:r>
      <w:r w:rsidR="00D610E0">
        <w:t xml:space="preserve"> 3764 (2015) </w:t>
      </w:r>
      <w:r w:rsidRPr="007F02E9">
        <w:t>at 3765.</w:t>
      </w:r>
    </w:p>
  </w:endnote>
  <w:endnote w:id="15">
    <w:p w14:paraId="1E8533FB" w14:textId="26589F00" w:rsidR="00421D69" w:rsidRPr="007F02E9" w:rsidRDefault="00421D69" w:rsidP="002F7FD3">
      <w:pPr>
        <w:pStyle w:val="EndnoteText"/>
      </w:pPr>
      <w:r w:rsidRPr="007F02E9">
        <w:rPr>
          <w:rStyle w:val="EndnoteReference"/>
        </w:rPr>
        <w:endnoteRef/>
      </w:r>
      <w:r w:rsidRPr="007F02E9">
        <w:t xml:space="preserve"> </w:t>
      </w:r>
      <w:r w:rsidRPr="007F02E9">
        <w:rPr>
          <w:i/>
        </w:rPr>
        <w:t xml:space="preserve">See </w:t>
      </w:r>
      <w:r w:rsidR="00D610E0">
        <w:t>I</w:t>
      </w:r>
      <w:r w:rsidR="001E3C38">
        <w:t>an</w:t>
      </w:r>
      <w:r w:rsidR="00D610E0">
        <w:t xml:space="preserve"> Campbell et al., </w:t>
      </w:r>
      <w:r w:rsidRPr="007F02E9">
        <w:t>Somatic Mosaicism: Implications for Dis</w:t>
      </w:r>
      <w:r w:rsidR="00D610E0">
        <w:t>ease and Transmission Genetics, 31(7)</w:t>
      </w:r>
      <w:r w:rsidRPr="007F02E9">
        <w:t xml:space="preserve"> </w:t>
      </w:r>
      <w:r w:rsidRPr="00D610E0">
        <w:rPr>
          <w:smallCaps/>
        </w:rPr>
        <w:t>Trends in Genetics</w:t>
      </w:r>
      <w:r w:rsidRPr="007F02E9">
        <w:t xml:space="preserve"> </w:t>
      </w:r>
      <w:r w:rsidR="00D610E0">
        <w:t>382 (2015); J</w:t>
      </w:r>
      <w:r w:rsidR="001E3C38">
        <w:t>an</w:t>
      </w:r>
      <w:r w:rsidR="00D610E0">
        <w:t xml:space="preserve"> </w:t>
      </w:r>
      <w:proofErr w:type="spellStart"/>
      <w:r w:rsidR="00D610E0">
        <w:t>Vi</w:t>
      </w:r>
      <w:r w:rsidR="001E3C38">
        <w:t>j</w:t>
      </w:r>
      <w:r w:rsidR="00D610E0">
        <w:t>g</w:t>
      </w:r>
      <w:proofErr w:type="spellEnd"/>
      <w:r w:rsidR="00D610E0">
        <w:t xml:space="preserve"> et al., </w:t>
      </w:r>
      <w:r w:rsidRPr="007F02E9">
        <w:t xml:space="preserve">Somatic Mutations, Genome Mosaicism, Cancer and Aging, </w:t>
      </w:r>
      <w:r w:rsidR="00D610E0">
        <w:t xml:space="preserve">24 </w:t>
      </w:r>
      <w:r w:rsidRPr="00D610E0">
        <w:rPr>
          <w:smallCaps/>
        </w:rPr>
        <w:t>Current Opinion in Genetics and Development</w:t>
      </w:r>
      <w:r w:rsidR="00D610E0">
        <w:t xml:space="preserve"> 141 (2014).</w:t>
      </w:r>
    </w:p>
  </w:endnote>
  <w:endnote w:id="16">
    <w:p w14:paraId="1D8A582C" w14:textId="1C8665EC" w:rsidR="00421D69" w:rsidRPr="007F02E9" w:rsidRDefault="00421D69" w:rsidP="002F7FD3">
      <w:pPr>
        <w:pStyle w:val="EndnoteText"/>
      </w:pPr>
      <w:r w:rsidRPr="007F02E9">
        <w:rPr>
          <w:rStyle w:val="EndnoteReference"/>
        </w:rPr>
        <w:endnoteRef/>
      </w:r>
      <w:r w:rsidRPr="007F02E9">
        <w:t xml:space="preserve"> </w:t>
      </w:r>
      <w:r w:rsidRPr="007F02E9">
        <w:rPr>
          <w:i/>
        </w:rPr>
        <w:t>Id.</w:t>
      </w:r>
      <w:r w:rsidR="00D610E0">
        <w:t>; E</w:t>
      </w:r>
      <w:r w:rsidR="001E3C38">
        <w:t>wen</w:t>
      </w:r>
      <w:r w:rsidR="00D610E0">
        <w:t xml:space="preserve"> Callaway, </w:t>
      </w:r>
      <w:r w:rsidRPr="007F02E9">
        <w:t>Doubts Raised About CRISPR Gene-</w:t>
      </w:r>
      <w:r w:rsidR="00D610E0">
        <w:t>Editing Study in Human Embryos,</w:t>
      </w:r>
      <w:r w:rsidRPr="007F02E9">
        <w:t xml:space="preserve"> </w:t>
      </w:r>
      <w:r w:rsidRPr="00D610E0">
        <w:rPr>
          <w:smallCaps/>
        </w:rPr>
        <w:t>Natur</w:t>
      </w:r>
      <w:r w:rsidR="00D610E0">
        <w:rPr>
          <w:smallCaps/>
        </w:rPr>
        <w:t>e News (</w:t>
      </w:r>
      <w:r w:rsidR="00D610E0">
        <w:t>August 31, 2017),</w:t>
      </w:r>
      <w:r w:rsidR="00D610E0">
        <w:rPr>
          <w:i/>
        </w:rPr>
        <w:t xml:space="preserve"> </w:t>
      </w:r>
      <w:r w:rsidRPr="007F02E9">
        <w:t>https://www.nature.com/news/doubts-raised-about-crispr-gene-editing-study-in-human-embryos-1.22547</w:t>
      </w:r>
      <w:r w:rsidR="00D610E0">
        <w:t>.</w:t>
      </w:r>
    </w:p>
  </w:endnote>
  <w:endnote w:id="17">
    <w:p w14:paraId="46975675" w14:textId="461FEAFF" w:rsidR="00421D69" w:rsidRDefault="00421D69">
      <w:pPr>
        <w:pStyle w:val="EndnoteText"/>
      </w:pPr>
      <w:r>
        <w:rPr>
          <w:rStyle w:val="EndnoteReference"/>
        </w:rPr>
        <w:endnoteRef/>
      </w:r>
      <w:r>
        <w:t xml:space="preserve"> Katarina Zimmer, </w:t>
      </w:r>
      <w:r w:rsidRPr="00611132">
        <w:t>CRISPR Scientists Slam Methods Used on Gene-Edited Babies</w:t>
      </w:r>
      <w:r>
        <w:t xml:space="preserve">, </w:t>
      </w:r>
      <w:r w:rsidRPr="007D5AC3">
        <w:rPr>
          <w:smallCaps/>
        </w:rPr>
        <w:t>the scientist</w:t>
      </w:r>
      <w:r>
        <w:t xml:space="preserve"> (December 4, 2018), </w:t>
      </w:r>
      <w:r w:rsidRPr="00D610E0">
        <w:t>https://www.the-scientist.com/news-opinion/crispr-scientists-slam-methods-used-on-gene-edited-babies--65167?fbclid=IwAR2Gdft-2Aj6JsGfoc5KT6FHgOGFAGCFu2AV4kjlFlben9shes5f5FePZRo</w:t>
      </w:r>
      <w:r>
        <w:t>.</w:t>
      </w:r>
    </w:p>
  </w:endnote>
  <w:endnote w:id="18">
    <w:p w14:paraId="6C18BCFF" w14:textId="4B0ACC67" w:rsidR="00421D69" w:rsidRDefault="00421D69">
      <w:pPr>
        <w:pStyle w:val="EndnoteText"/>
      </w:pPr>
      <w:r>
        <w:rPr>
          <w:rStyle w:val="EndnoteReference"/>
        </w:rPr>
        <w:endnoteRef/>
      </w:r>
      <w:r>
        <w:t xml:space="preserve"> Jeremy </w:t>
      </w:r>
      <w:proofErr w:type="spellStart"/>
      <w:r>
        <w:t>Luban</w:t>
      </w:r>
      <w:proofErr w:type="spellEnd"/>
      <w:r>
        <w:t xml:space="preserve">, The Hidden Cost of Genetic Resistance to HIV-1, </w:t>
      </w:r>
      <w:r w:rsidRPr="000B59EC">
        <w:rPr>
          <w:smallCaps/>
        </w:rPr>
        <w:t>Nature Medicine doi</w:t>
      </w:r>
      <w:r>
        <w:t>.10.38/s41591-019-0481-8 (2019).</w:t>
      </w:r>
    </w:p>
  </w:endnote>
  <w:endnote w:id="19">
    <w:p w14:paraId="4F9BC21C" w14:textId="77777777" w:rsidR="00421D69" w:rsidRPr="00E61615" w:rsidRDefault="00421D69" w:rsidP="00F87CA6">
      <w:pPr>
        <w:pStyle w:val="EndnoteText"/>
      </w:pPr>
      <w:r w:rsidRPr="00E61615">
        <w:rPr>
          <w:rStyle w:val="EndnoteReference"/>
        </w:rPr>
        <w:endnoteRef/>
      </w:r>
      <w:r w:rsidRPr="00E61615">
        <w:t xml:space="preserve"> Article 9, Directive 2001/20/EC, </w:t>
      </w:r>
      <w:r w:rsidRPr="00E61615">
        <w:rPr>
          <w:smallCaps/>
        </w:rPr>
        <w:t>Council of Europe</w:t>
      </w:r>
      <w:r w:rsidRPr="00E61615">
        <w:t xml:space="preserve"> (2001), http://ec.europa.eu/health//sites/health/files/files/eudralex/vol-1/dir_2001_20/dir_2001_20_en.pdf.</w:t>
      </w:r>
    </w:p>
  </w:endnote>
  <w:endnote w:id="20">
    <w:p w14:paraId="589F6827" w14:textId="76AC1625" w:rsidR="00421D69" w:rsidRPr="00E61615" w:rsidRDefault="00421D69" w:rsidP="00DB1F18">
      <w:pPr>
        <w:pStyle w:val="EndnoteText"/>
      </w:pPr>
      <w:r w:rsidRPr="00E61615">
        <w:rPr>
          <w:rStyle w:val="EndnoteReference"/>
        </w:rPr>
        <w:endnoteRef/>
      </w:r>
      <w:r w:rsidRPr="00E61615">
        <w:t xml:space="preserve"> Julian </w:t>
      </w:r>
      <w:proofErr w:type="spellStart"/>
      <w:r w:rsidRPr="00E61615">
        <w:t>Savulescu</w:t>
      </w:r>
      <w:proofErr w:type="spellEnd"/>
      <w:r w:rsidRPr="00E61615">
        <w:t xml:space="preserve">, Mitochondrial Disease Kills 150 Children a Year.  A Micro-Transplant Can Cure It, </w:t>
      </w:r>
      <w:r w:rsidRPr="00E61615">
        <w:rPr>
          <w:smallCaps/>
        </w:rPr>
        <w:t>The Guardian</w:t>
      </w:r>
      <w:r w:rsidRPr="00E61615">
        <w:t xml:space="preserve"> (Feb</w:t>
      </w:r>
      <w:r w:rsidR="00D610E0">
        <w:t>ruary</w:t>
      </w:r>
      <w:r w:rsidRPr="00E61615">
        <w:t xml:space="preserve"> 2, 2015),</w:t>
      </w:r>
      <w:r w:rsidR="00D610E0">
        <w:t xml:space="preserve"> </w:t>
      </w:r>
      <w:r w:rsidRPr="00D610E0">
        <w:t>https://www.theguardian.com/science/2015/feb/02/mitochondrial-transfer-micro-transplant-parliamentary-debate</w:t>
      </w:r>
      <w:r w:rsidRPr="00E61615">
        <w:rPr>
          <w:rStyle w:val="Hyperlink"/>
          <w:color w:val="auto"/>
        </w:rPr>
        <w:t>.</w:t>
      </w:r>
    </w:p>
  </w:endnote>
  <w:endnote w:id="21">
    <w:p w14:paraId="766B7B47" w14:textId="0AAF8C14" w:rsidR="00421D69" w:rsidRPr="00E61615" w:rsidRDefault="00421D69" w:rsidP="00FA6A37">
      <w:pPr>
        <w:pStyle w:val="EndnoteText"/>
      </w:pPr>
      <w:r w:rsidRPr="00E61615">
        <w:rPr>
          <w:rStyle w:val="EndnoteReference"/>
        </w:rPr>
        <w:endnoteRef/>
      </w:r>
      <w:r w:rsidRPr="00E61615">
        <w:t xml:space="preserve"> 59</w:t>
      </w:r>
      <w:r w:rsidRPr="00E61615">
        <w:rPr>
          <w:vertAlign w:val="superscript"/>
        </w:rPr>
        <w:t>th</w:t>
      </w:r>
      <w:r w:rsidRPr="00E61615">
        <w:t xml:space="preserve"> </w:t>
      </w:r>
      <w:r w:rsidRPr="00E61615">
        <w:rPr>
          <w:smallCaps/>
        </w:rPr>
        <w:t>Meeting of the Cellular, Tissue, and Gene Therapies Advisory Committee</w:t>
      </w:r>
      <w:r w:rsidRPr="00E61615">
        <w:t>, FDA (Feb. 25, 2014), https://www.fda.gov/downloads/AdvisoryCommittees/CommitteesMeetingMaterials/BloodVaccinesandOtherBiologics/CellularTissueandGeneTherapiesAdvisoryCommit</w:t>
      </w:r>
      <w:r w:rsidR="00D610E0">
        <w:t>tee/UCM390945.pdf (hereinafter “</w:t>
      </w:r>
      <w:r w:rsidRPr="00E61615">
        <w:t xml:space="preserve">FDA </w:t>
      </w:r>
      <w:r w:rsidR="00EB5B0D">
        <w:t xml:space="preserve">MRT </w:t>
      </w:r>
      <w:r w:rsidRPr="00E61615">
        <w:t xml:space="preserve">Meeting”) at 58-64; </w:t>
      </w:r>
      <w:r w:rsidRPr="00E61615">
        <w:rPr>
          <w:i/>
        </w:rPr>
        <w:t>see also</w:t>
      </w:r>
      <w:r w:rsidRPr="00E61615">
        <w:t xml:space="preserve"> Mitochondrial Replacement Techniques: Ethical, Social, and Policy Considerations, </w:t>
      </w:r>
      <w:r w:rsidRPr="00E61615">
        <w:rPr>
          <w:smallCaps/>
        </w:rPr>
        <w:t>National Academies of Sciences, Engineering, and Medicine</w:t>
      </w:r>
      <w:r w:rsidRPr="00E61615">
        <w:t xml:space="preserve"> </w:t>
      </w:r>
      <w:r w:rsidR="00C86C90" w:rsidRPr="007F02E9">
        <w:t xml:space="preserve">(Washington D.C.: </w:t>
      </w:r>
      <w:r w:rsidR="00C86C90">
        <w:t>National Academies Press, 2016</w:t>
      </w:r>
      <w:r w:rsidR="00C86C90" w:rsidRPr="00E61615">
        <w:t xml:space="preserve"> </w:t>
      </w:r>
      <w:r w:rsidRPr="00E61615">
        <w:t>(hereinafter “NAS Report</w:t>
      </w:r>
      <w:r w:rsidR="00C86C90">
        <w:t xml:space="preserve"> on MRT</w:t>
      </w:r>
      <w:r w:rsidRPr="00E61615">
        <w:t>”) at 27</w:t>
      </w:r>
      <w:r w:rsidR="001E3C38">
        <w:t>.</w:t>
      </w:r>
    </w:p>
  </w:endnote>
  <w:endnote w:id="22">
    <w:p w14:paraId="14654E34" w14:textId="4FF53E8A" w:rsidR="00421D69" w:rsidRPr="00E61615" w:rsidRDefault="00421D69" w:rsidP="00FA6A37">
      <w:pPr>
        <w:pStyle w:val="EndnoteText"/>
      </w:pPr>
      <w:r w:rsidRPr="00E61615">
        <w:rPr>
          <w:rStyle w:val="EndnoteReference"/>
        </w:rPr>
        <w:endnoteRef/>
      </w:r>
      <w:r w:rsidRPr="00E61615">
        <w:t xml:space="preserve"> </w:t>
      </w:r>
      <w:r w:rsidRPr="00E61615">
        <w:rPr>
          <w:i/>
        </w:rPr>
        <w:t>Third Scientific Review of the Safety and Efficacy of Methods to Avoid Mitochondrial Disease Through Assisted Conception: 2014 Update</w:t>
      </w:r>
      <w:r w:rsidRPr="00E61615">
        <w:t xml:space="preserve">, </w:t>
      </w:r>
      <w:r w:rsidRPr="00E61615">
        <w:rPr>
          <w:smallCaps/>
        </w:rPr>
        <w:t xml:space="preserve">Hum. </w:t>
      </w:r>
      <w:proofErr w:type="spellStart"/>
      <w:r w:rsidRPr="00E61615">
        <w:rPr>
          <w:smallCaps/>
        </w:rPr>
        <w:t>Fertilisation</w:t>
      </w:r>
      <w:proofErr w:type="spellEnd"/>
      <w:r w:rsidRPr="00E61615">
        <w:rPr>
          <w:smallCaps/>
        </w:rPr>
        <w:t xml:space="preserve"> &amp; Embryology Auth. </w:t>
      </w:r>
      <w:r w:rsidRPr="00E61615">
        <w:t xml:space="preserve">at 12 (June 2014) (hereinafter </w:t>
      </w:r>
      <w:r w:rsidR="00D610E0">
        <w:t>“</w:t>
      </w:r>
      <w:r w:rsidRPr="00D610E0">
        <w:t>HFEA</w:t>
      </w:r>
      <w:r w:rsidRPr="00E61615">
        <w:rPr>
          <w:i/>
        </w:rPr>
        <w:t xml:space="preserve"> </w:t>
      </w:r>
      <w:r w:rsidRPr="00D610E0">
        <w:t>Scientific Review</w:t>
      </w:r>
      <w:r w:rsidR="00D610E0" w:rsidRPr="00D610E0">
        <w:t>”</w:t>
      </w:r>
      <w:r w:rsidRPr="00D610E0">
        <w:t>).</w:t>
      </w:r>
      <w:r w:rsidRPr="00E61615">
        <w:t xml:space="preserve"> </w:t>
      </w:r>
    </w:p>
  </w:endnote>
  <w:endnote w:id="23">
    <w:p w14:paraId="28122FFE" w14:textId="00883BC4" w:rsidR="00D9787E" w:rsidRDefault="00D9787E">
      <w:pPr>
        <w:pStyle w:val="EndnoteText"/>
      </w:pPr>
      <w:r>
        <w:rPr>
          <w:rStyle w:val="EndnoteReference"/>
        </w:rPr>
        <w:endnoteRef/>
      </w:r>
      <w:r>
        <w:t xml:space="preserve"> </w:t>
      </w:r>
      <w:r w:rsidR="001E3C38" w:rsidRPr="007F02E9">
        <w:t>D</w:t>
      </w:r>
      <w:r w:rsidR="001E3C38">
        <w:t xml:space="preserve">avid Cooper et al., </w:t>
      </w:r>
      <w:r w:rsidR="001E3C38" w:rsidRPr="007F02E9">
        <w:t>When Genotype Is Not Predictive of Phenotype: Towards an Understanding of the Molecular Basis of Reduced Penetra</w:t>
      </w:r>
      <w:r w:rsidR="001E3C38">
        <w:t>nce of Human Inherited Disease,</w:t>
      </w:r>
      <w:r w:rsidR="001E3C38" w:rsidRPr="007F02E9">
        <w:t xml:space="preserve"> </w:t>
      </w:r>
      <w:r w:rsidR="001E3C38">
        <w:t xml:space="preserve">132(10) </w:t>
      </w:r>
      <w:r w:rsidR="001E3C38" w:rsidRPr="001342FA">
        <w:rPr>
          <w:smallCaps/>
        </w:rPr>
        <w:t>Human Genetics</w:t>
      </w:r>
      <w:r w:rsidR="001E3C38">
        <w:t xml:space="preserve"> 1077 (2013).</w:t>
      </w:r>
    </w:p>
  </w:endnote>
  <w:endnote w:id="24">
    <w:p w14:paraId="176E1967" w14:textId="6C91EEF5" w:rsidR="00421D69" w:rsidRPr="00E61615" w:rsidRDefault="00421D69" w:rsidP="00C265C5">
      <w:pPr>
        <w:pStyle w:val="EndnoteText"/>
      </w:pPr>
      <w:r w:rsidRPr="00E61615">
        <w:rPr>
          <w:rStyle w:val="EndnoteReference"/>
        </w:rPr>
        <w:endnoteRef/>
      </w:r>
      <w:r w:rsidRPr="00E61615">
        <w:t xml:space="preserve"> </w:t>
      </w:r>
      <w:r w:rsidR="001E3C38" w:rsidRPr="001E3C38">
        <w:rPr>
          <w:i/>
          <w:iCs/>
        </w:rPr>
        <w:t>See supra</w:t>
      </w:r>
      <w:r w:rsidR="001E3C38">
        <w:t xml:space="preserve"> note 5. </w:t>
      </w:r>
    </w:p>
  </w:endnote>
  <w:endnote w:id="25">
    <w:p w14:paraId="75D13C63" w14:textId="77777777" w:rsidR="00421D69" w:rsidRPr="00E61615" w:rsidRDefault="00421D69" w:rsidP="00C265C5">
      <w:pPr>
        <w:pStyle w:val="EndnoteText"/>
      </w:pPr>
      <w:r w:rsidRPr="00E61615">
        <w:rPr>
          <w:rStyle w:val="EndnoteReference"/>
        </w:rPr>
        <w:endnoteRef/>
      </w:r>
      <w:r w:rsidRPr="00E61615">
        <w:t xml:space="preserve"> Assisted Human Reproduction Act s. 5 (2004); Assisted Human Reproduction Act s. 60 (2004).</w:t>
      </w:r>
    </w:p>
  </w:endnote>
  <w:endnote w:id="26">
    <w:p w14:paraId="7706961A" w14:textId="77777777" w:rsidR="00421D69" w:rsidRPr="00E61615" w:rsidRDefault="00421D69" w:rsidP="00C265C5">
      <w:pPr>
        <w:pStyle w:val="EndnoteText"/>
      </w:pPr>
      <w:r w:rsidRPr="00E61615">
        <w:rPr>
          <w:rStyle w:val="EndnoteReference"/>
        </w:rPr>
        <w:endnoteRef/>
      </w:r>
      <w:r w:rsidRPr="00E61615">
        <w:t xml:space="preserve"> Embryo Protection Act, Federal Law Gazette, Part I, No.69 (1990). </w:t>
      </w:r>
    </w:p>
  </w:endnote>
  <w:endnote w:id="27">
    <w:p w14:paraId="52B95243" w14:textId="17EB53A0" w:rsidR="00421D69" w:rsidRPr="00E61615" w:rsidRDefault="00421D69" w:rsidP="00C265C5">
      <w:pPr>
        <w:pStyle w:val="EndnoteText"/>
      </w:pPr>
      <w:r w:rsidRPr="00E61615">
        <w:rPr>
          <w:rStyle w:val="EndnoteReference"/>
        </w:rPr>
        <w:endnoteRef/>
      </w:r>
      <w:r w:rsidRPr="00E61615">
        <w:t xml:space="preserve"> Research on Embryos, Bioethics Law, Code of Public Health. Article L2151-5 (2011); Absolute Prohibition on Creating Transgenic Embryos and Chimeras, Bioethics Law, Code of Public </w:t>
      </w:r>
      <w:r w:rsidR="00D610E0">
        <w:t>Health. Article L2151-2 (2011).</w:t>
      </w:r>
    </w:p>
  </w:endnote>
  <w:endnote w:id="28">
    <w:p w14:paraId="2A95C70F" w14:textId="77777777" w:rsidR="00421D69" w:rsidRPr="00E61615" w:rsidRDefault="00421D69" w:rsidP="00C265C5">
      <w:pPr>
        <w:pStyle w:val="EndnoteText"/>
      </w:pPr>
      <w:r w:rsidRPr="00E61615">
        <w:rPr>
          <w:rStyle w:val="EndnoteReference"/>
        </w:rPr>
        <w:endnoteRef/>
      </w:r>
      <w:r w:rsidRPr="00E61615">
        <w:t xml:space="preserve"> Article 35, Federal Act on Medically Assisted Reproduction, Federal Assembly of the Swiss Confederation (1998). </w:t>
      </w:r>
    </w:p>
  </w:endnote>
  <w:endnote w:id="29">
    <w:p w14:paraId="4F024172" w14:textId="77777777" w:rsidR="00421D69" w:rsidRPr="00E61615" w:rsidRDefault="00421D69" w:rsidP="00C265C5">
      <w:pPr>
        <w:pStyle w:val="EndnoteText"/>
      </w:pPr>
      <w:r w:rsidRPr="00E61615">
        <w:rPr>
          <w:rStyle w:val="EndnoteReference"/>
        </w:rPr>
        <w:endnoteRef/>
      </w:r>
      <w:r w:rsidRPr="00E61615">
        <w:t xml:space="preserve"> </w:t>
      </w:r>
      <w:r w:rsidRPr="00E61615">
        <w:rPr>
          <w:i/>
        </w:rPr>
        <w:t>See</w:t>
      </w:r>
      <w:r w:rsidRPr="00E61615">
        <w:t xml:space="preserve"> Sections 3-4, The Genetic Integrity Act, Swedish Code of Statutes no.2006:351 (2006).</w:t>
      </w:r>
    </w:p>
  </w:endnote>
  <w:endnote w:id="30">
    <w:p w14:paraId="249598B1" w14:textId="77777777" w:rsidR="00421D69" w:rsidRPr="00E61615" w:rsidRDefault="00421D69" w:rsidP="00C265C5">
      <w:pPr>
        <w:pStyle w:val="EndnoteText"/>
      </w:pPr>
      <w:r w:rsidRPr="00E61615">
        <w:rPr>
          <w:rStyle w:val="EndnoteReference"/>
        </w:rPr>
        <w:endnoteRef/>
      </w:r>
      <w:r w:rsidRPr="00E61615">
        <w:t xml:space="preserve"> Article 13, Rules of Medically Assisted Procreation, No. 40 (2004). </w:t>
      </w:r>
    </w:p>
  </w:endnote>
  <w:endnote w:id="31">
    <w:p w14:paraId="1A0F95D2" w14:textId="312F3D6F" w:rsidR="00421D69" w:rsidRPr="00E61615" w:rsidRDefault="00421D69" w:rsidP="00C265C5">
      <w:pPr>
        <w:pStyle w:val="EndnoteText"/>
      </w:pPr>
      <w:r w:rsidRPr="00E61615">
        <w:rPr>
          <w:rStyle w:val="EndnoteReference"/>
        </w:rPr>
        <w:endnoteRef/>
      </w:r>
      <w:r w:rsidRPr="00E61615">
        <w:t xml:space="preserve"> Some laws prohibit germline modification to any embryo, some prohibit modification for implantable embryos. </w:t>
      </w:r>
      <w:r w:rsidRPr="00E61615">
        <w:rPr>
          <w:i/>
        </w:rPr>
        <w:t xml:space="preserve">See </w:t>
      </w:r>
      <w:proofErr w:type="spellStart"/>
      <w:r w:rsidRPr="00E61615">
        <w:t>Isasi</w:t>
      </w:r>
      <w:proofErr w:type="spellEnd"/>
      <w:r w:rsidRPr="00E61615">
        <w:t xml:space="preserve"> et al., </w:t>
      </w:r>
      <w:r w:rsidRPr="00E61615">
        <w:rPr>
          <w:i/>
        </w:rPr>
        <w:t>supra</w:t>
      </w:r>
      <w:r w:rsidRPr="00E61615">
        <w:t xml:space="preserve"> note </w:t>
      </w:r>
      <w:r w:rsidR="001E3C38">
        <w:t>5</w:t>
      </w:r>
      <w:r w:rsidRPr="00E61615">
        <w:t>.</w:t>
      </w:r>
    </w:p>
  </w:endnote>
  <w:endnote w:id="32">
    <w:p w14:paraId="62F352C2" w14:textId="77777777" w:rsidR="00421D69" w:rsidRPr="00E61615" w:rsidRDefault="00421D69" w:rsidP="00C265C5">
      <w:pPr>
        <w:pStyle w:val="EndnoteText"/>
      </w:pPr>
      <w:r w:rsidRPr="00E61615">
        <w:rPr>
          <w:rStyle w:val="EndnoteReference"/>
        </w:rPr>
        <w:endnoteRef/>
      </w:r>
      <w:r w:rsidRPr="00E61615">
        <w:t xml:space="preserve"> </w:t>
      </w:r>
      <w:r w:rsidRPr="00E61615">
        <w:rPr>
          <w:i/>
        </w:rPr>
        <w:t>The Science and Ethics of Genetically Engineered Human DNA</w:t>
      </w:r>
      <w:r w:rsidRPr="00E61615">
        <w:t xml:space="preserve">, Hearing Before the Subcommittee on Research and Technology, </w:t>
      </w:r>
      <w:r w:rsidRPr="00E61615">
        <w:rPr>
          <w:smallCaps/>
        </w:rPr>
        <w:t>114</w:t>
      </w:r>
      <w:r w:rsidRPr="00E61615">
        <w:rPr>
          <w:smallCaps/>
          <w:vertAlign w:val="superscript"/>
        </w:rPr>
        <w:t>th</w:t>
      </w:r>
      <w:r w:rsidRPr="00E61615">
        <w:rPr>
          <w:smallCaps/>
        </w:rPr>
        <w:t xml:space="preserve"> Congress</w:t>
      </w:r>
      <w:r w:rsidRPr="00E61615">
        <w:t xml:space="preserve"> (2015).  </w:t>
      </w:r>
    </w:p>
  </w:endnote>
  <w:endnote w:id="33">
    <w:p w14:paraId="0EE40DE3" w14:textId="77777777" w:rsidR="00D9787E" w:rsidRPr="00E61615" w:rsidRDefault="00D9787E" w:rsidP="00D9787E">
      <w:pPr>
        <w:pStyle w:val="EndnoteText"/>
      </w:pPr>
      <w:r w:rsidRPr="00E61615">
        <w:rPr>
          <w:rStyle w:val="EndnoteReference"/>
        </w:rPr>
        <w:endnoteRef/>
      </w:r>
      <w:r w:rsidRPr="00E61615">
        <w:t xml:space="preserve"> </w:t>
      </w:r>
      <w:r w:rsidRPr="00E61615">
        <w:rPr>
          <w:i/>
        </w:rPr>
        <w:t>Id.</w:t>
      </w:r>
    </w:p>
  </w:endnote>
  <w:endnote w:id="34">
    <w:p w14:paraId="3CFEC1AF" w14:textId="45C8BB9F" w:rsidR="00421D69" w:rsidRDefault="00421D69">
      <w:pPr>
        <w:pStyle w:val="EndnoteText"/>
      </w:pPr>
      <w:r>
        <w:rPr>
          <w:rStyle w:val="EndnoteReference"/>
        </w:rPr>
        <w:endnoteRef/>
      </w:r>
      <w:r>
        <w:t xml:space="preserve"> Drabiak MRT, </w:t>
      </w:r>
      <w:r w:rsidRPr="001E3C38">
        <w:rPr>
          <w:i/>
          <w:iCs/>
        </w:rPr>
        <w:t>supra</w:t>
      </w:r>
      <w:r>
        <w:t xml:space="preserve"> note 1.</w:t>
      </w:r>
    </w:p>
  </w:endnote>
  <w:endnote w:id="35">
    <w:p w14:paraId="7002B414" w14:textId="35EC0AA6" w:rsidR="00421D69" w:rsidRPr="00E61615" w:rsidRDefault="00421D69" w:rsidP="00D43C16">
      <w:pPr>
        <w:pStyle w:val="EndnoteText"/>
      </w:pPr>
      <w:r w:rsidRPr="00E61615">
        <w:rPr>
          <w:rStyle w:val="EndnoteReference"/>
        </w:rPr>
        <w:endnoteRef/>
      </w:r>
      <w:r w:rsidRPr="00E61615">
        <w:t xml:space="preserve"> </w:t>
      </w:r>
      <w:proofErr w:type="gramStart"/>
      <w:r w:rsidRPr="00E61615">
        <w:t xml:space="preserve">FDA </w:t>
      </w:r>
      <w:r w:rsidR="00EB5B0D">
        <w:t xml:space="preserve">MRT </w:t>
      </w:r>
      <w:r w:rsidRPr="00E61615">
        <w:t>Meeting,</w:t>
      </w:r>
      <w:proofErr w:type="gramEnd"/>
      <w:r w:rsidRPr="00E61615">
        <w:t xml:space="preserve"> </w:t>
      </w:r>
      <w:r w:rsidRPr="00E61615">
        <w:rPr>
          <w:i/>
        </w:rPr>
        <w:t>supra</w:t>
      </w:r>
      <w:r w:rsidR="00D610E0">
        <w:t xml:space="preserve"> note 21</w:t>
      </w:r>
      <w:r w:rsidRPr="00E61615">
        <w:t xml:space="preserve">; FDA Briefing Document: Oocyte Modification in Assisted Reproduction for the Prevention of Transmission of Mitochondrial Disease or the Treatment of Infertility, </w:t>
      </w:r>
      <w:r w:rsidRPr="00E61615">
        <w:rPr>
          <w:smallCaps/>
        </w:rPr>
        <w:t>Cellular, Tissue, and Gene Therapies Advisory Committee</w:t>
      </w:r>
      <w:r w:rsidRPr="00E61615">
        <w:t>, FDA (Feb. 25-26, 2014)</w:t>
      </w:r>
      <w:r w:rsidR="00D610E0">
        <w:t xml:space="preserve"> </w:t>
      </w:r>
      <w:r w:rsidRPr="00E61615">
        <w:t xml:space="preserve">(hereinafter “FDA </w:t>
      </w:r>
      <w:r w:rsidR="00EB5B0D">
        <w:t xml:space="preserve">MRT </w:t>
      </w:r>
      <w:r w:rsidRPr="00E61615">
        <w:t>Brief”).</w:t>
      </w:r>
    </w:p>
  </w:endnote>
  <w:endnote w:id="36">
    <w:p w14:paraId="32C3692A" w14:textId="77777777" w:rsidR="00421D69" w:rsidRPr="00E61615" w:rsidRDefault="00421D69" w:rsidP="00D43C16">
      <w:pPr>
        <w:pStyle w:val="EndnoteText"/>
      </w:pPr>
      <w:r w:rsidRPr="00E61615">
        <w:rPr>
          <w:rStyle w:val="EndnoteReference"/>
        </w:rPr>
        <w:endnoteRef/>
      </w:r>
      <w:r w:rsidRPr="00E61615">
        <w:t xml:space="preserve"> </w:t>
      </w:r>
      <w:r w:rsidRPr="00E61615">
        <w:rPr>
          <w:i/>
        </w:rPr>
        <w:t>Id.</w:t>
      </w:r>
    </w:p>
  </w:endnote>
  <w:endnote w:id="37">
    <w:p w14:paraId="0DA63A84" w14:textId="291D40D0" w:rsidR="00421D69" w:rsidRPr="00E61615" w:rsidRDefault="00421D69" w:rsidP="00D43C16">
      <w:pPr>
        <w:pStyle w:val="EndnoteText"/>
      </w:pPr>
      <w:r w:rsidRPr="00E61615">
        <w:rPr>
          <w:rStyle w:val="EndnoteReference"/>
        </w:rPr>
        <w:endnoteRef/>
      </w:r>
      <w:r w:rsidRPr="00E61615">
        <w:t xml:space="preserve"> FDA </w:t>
      </w:r>
      <w:r w:rsidR="00EB5B0D">
        <w:t xml:space="preserve">MRT </w:t>
      </w:r>
      <w:r w:rsidRPr="00E61615">
        <w:t xml:space="preserve">Meeting, </w:t>
      </w:r>
      <w:r w:rsidRPr="00E61615">
        <w:rPr>
          <w:i/>
        </w:rPr>
        <w:t>supra</w:t>
      </w:r>
      <w:r w:rsidR="00D610E0">
        <w:t xml:space="preserve"> note 21</w:t>
      </w:r>
      <w:r w:rsidRPr="00E61615">
        <w:t>, at 84-87, 85.</w:t>
      </w:r>
    </w:p>
  </w:endnote>
  <w:endnote w:id="38">
    <w:p w14:paraId="7E8A263E" w14:textId="77777777" w:rsidR="00421D69" w:rsidRPr="00E61615" w:rsidRDefault="00421D69" w:rsidP="00D43C16">
      <w:pPr>
        <w:pStyle w:val="EndnoteText"/>
      </w:pPr>
      <w:r w:rsidRPr="00E61615">
        <w:rPr>
          <w:rStyle w:val="EndnoteReference"/>
        </w:rPr>
        <w:endnoteRef/>
      </w:r>
      <w:r w:rsidRPr="00E61615">
        <w:t xml:space="preserve"> </w:t>
      </w:r>
      <w:r w:rsidRPr="00E61615">
        <w:rPr>
          <w:i/>
        </w:rPr>
        <w:t>Id.</w:t>
      </w:r>
    </w:p>
  </w:endnote>
  <w:endnote w:id="39">
    <w:p w14:paraId="14EA0BEA" w14:textId="77777777" w:rsidR="00421D69" w:rsidRPr="00E61615" w:rsidRDefault="00421D69" w:rsidP="00D43C16">
      <w:pPr>
        <w:pStyle w:val="EndnoteText"/>
      </w:pPr>
      <w:r w:rsidRPr="00E61615">
        <w:rPr>
          <w:rStyle w:val="EndnoteReference"/>
        </w:rPr>
        <w:endnoteRef/>
      </w:r>
      <w:r w:rsidRPr="00E61615">
        <w:t xml:space="preserve"> </w:t>
      </w:r>
      <w:r w:rsidRPr="00E61615">
        <w:rPr>
          <w:i/>
        </w:rPr>
        <w:t>Id</w:t>
      </w:r>
      <w:r w:rsidRPr="00E61615">
        <w:t xml:space="preserve">.; Ewen Callaway, </w:t>
      </w:r>
      <w:r w:rsidRPr="00D610E0">
        <w:t>Three-Person Embryos May Not Expel Harmful Genes</w:t>
      </w:r>
      <w:r w:rsidRPr="00E61615">
        <w:t xml:space="preserve">, 533 </w:t>
      </w:r>
      <w:r w:rsidRPr="00E61615">
        <w:rPr>
          <w:smallCaps/>
        </w:rPr>
        <w:t>Nature</w:t>
      </w:r>
      <w:r w:rsidRPr="00E61615">
        <w:t xml:space="preserve"> 445 (2016).</w:t>
      </w:r>
    </w:p>
  </w:endnote>
  <w:endnote w:id="40">
    <w:p w14:paraId="71D7DF5B" w14:textId="030654EA" w:rsidR="00421D69" w:rsidRPr="00E61615" w:rsidRDefault="00421D69" w:rsidP="00D610E0">
      <w:pPr>
        <w:pStyle w:val="EndnoteText"/>
      </w:pPr>
      <w:r w:rsidRPr="00E61615">
        <w:rPr>
          <w:rStyle w:val="EndnoteReference"/>
        </w:rPr>
        <w:endnoteRef/>
      </w:r>
      <w:r w:rsidRPr="00E61615">
        <w:t xml:space="preserve"> Joerg Patrick </w:t>
      </w:r>
      <w:proofErr w:type="spellStart"/>
      <w:r w:rsidRPr="00E61615">
        <w:t>Burgstaller</w:t>
      </w:r>
      <w:proofErr w:type="spellEnd"/>
      <w:r w:rsidRPr="00E61615">
        <w:t xml:space="preserve"> et al., </w:t>
      </w:r>
      <w:proofErr w:type="spellStart"/>
      <w:r w:rsidRPr="00E61615">
        <w:t>mtDNA</w:t>
      </w:r>
      <w:proofErr w:type="spellEnd"/>
      <w:r w:rsidRPr="00E61615">
        <w:t xml:space="preserve"> Segregation in </w:t>
      </w:r>
      <w:proofErr w:type="spellStart"/>
      <w:r w:rsidRPr="00E61615">
        <w:t>Heteroplasmic</w:t>
      </w:r>
      <w:proofErr w:type="spellEnd"/>
      <w:r w:rsidRPr="00E61615">
        <w:t xml:space="preserve"> Tissues Is Common In Vivo and Modulated </w:t>
      </w:r>
      <w:proofErr w:type="gramStart"/>
      <w:r w:rsidRPr="00E61615">
        <w:t>By</w:t>
      </w:r>
      <w:proofErr w:type="gramEnd"/>
      <w:r w:rsidRPr="00E61615">
        <w:t xml:space="preserve"> Haplotype Difference and Developmental Stage, 7 </w:t>
      </w:r>
      <w:r w:rsidRPr="00E61615">
        <w:rPr>
          <w:smallCaps/>
        </w:rPr>
        <w:t>Cell Reports</w:t>
      </w:r>
      <w:r w:rsidRPr="00E61615">
        <w:t xml:space="preserve"> 2031 (2014)</w:t>
      </w:r>
      <w:r w:rsidR="00D610E0">
        <w:t xml:space="preserve"> </w:t>
      </w:r>
      <w:r w:rsidR="00D610E0" w:rsidRPr="00E61615">
        <w:t>at 2031, 2036</w:t>
      </w:r>
      <w:r w:rsidR="00D610E0">
        <w:t>.</w:t>
      </w:r>
    </w:p>
  </w:endnote>
  <w:endnote w:id="41">
    <w:p w14:paraId="01A08D9D" w14:textId="67310850" w:rsidR="00421D69" w:rsidRPr="00E61615" w:rsidRDefault="00421D69" w:rsidP="00D43C16">
      <w:pPr>
        <w:pStyle w:val="EndnoteText"/>
      </w:pPr>
      <w:r w:rsidRPr="00E61615">
        <w:rPr>
          <w:rStyle w:val="EndnoteReference"/>
        </w:rPr>
        <w:endnoteRef/>
      </w:r>
      <w:r w:rsidRPr="00E61615">
        <w:t xml:space="preserve"> </w:t>
      </w:r>
      <w:r w:rsidRPr="00E61615">
        <w:rPr>
          <w:i/>
        </w:rPr>
        <w:t>Id.</w:t>
      </w:r>
      <w:r w:rsidRPr="00E61615">
        <w:t xml:space="preserve"> </w:t>
      </w:r>
    </w:p>
  </w:endnote>
  <w:endnote w:id="42">
    <w:p w14:paraId="5D537833" w14:textId="77777777" w:rsidR="00421D69" w:rsidRPr="00E61615" w:rsidRDefault="00421D69" w:rsidP="008319F0">
      <w:pPr>
        <w:pStyle w:val="EndnoteText"/>
      </w:pPr>
      <w:r w:rsidRPr="00E61615">
        <w:rPr>
          <w:rStyle w:val="EndnoteReference"/>
        </w:rPr>
        <w:endnoteRef/>
      </w:r>
      <w:r w:rsidRPr="00E61615">
        <w:t xml:space="preserve"> </w:t>
      </w:r>
      <w:r w:rsidRPr="00E61615">
        <w:rPr>
          <w:i/>
        </w:rPr>
        <w:t>Id</w:t>
      </w:r>
      <w:r w:rsidRPr="00E61615">
        <w:t xml:space="preserve">.; </w:t>
      </w:r>
      <w:proofErr w:type="spellStart"/>
      <w:r w:rsidRPr="00E61615">
        <w:t>Eunju</w:t>
      </w:r>
      <w:proofErr w:type="spellEnd"/>
      <w:r w:rsidRPr="00E61615">
        <w:t xml:space="preserve"> Kang et al., </w:t>
      </w:r>
      <w:r w:rsidRPr="00D95925">
        <w:rPr>
          <w:iCs/>
        </w:rPr>
        <w:t xml:space="preserve">Mitochondrial Replacement </w:t>
      </w:r>
      <w:proofErr w:type="gramStart"/>
      <w:r w:rsidRPr="00D95925">
        <w:rPr>
          <w:iCs/>
        </w:rPr>
        <w:t>In</w:t>
      </w:r>
      <w:proofErr w:type="gramEnd"/>
      <w:r w:rsidRPr="00D95925">
        <w:rPr>
          <w:iCs/>
        </w:rPr>
        <w:t xml:space="preserve"> Human Oocytes Carrying Pathogenic Mitochondrial Mutations,</w:t>
      </w:r>
      <w:r w:rsidRPr="00E61615">
        <w:t xml:space="preserve"> 540 </w:t>
      </w:r>
      <w:r w:rsidRPr="00E61615">
        <w:rPr>
          <w:smallCaps/>
        </w:rPr>
        <w:t>Nature</w:t>
      </w:r>
      <w:r w:rsidRPr="00E61615">
        <w:t xml:space="preserve"> 270 (2016).</w:t>
      </w:r>
    </w:p>
  </w:endnote>
  <w:endnote w:id="43">
    <w:p w14:paraId="6637195D" w14:textId="096D7FE5" w:rsidR="00421D69" w:rsidRPr="00E61615" w:rsidRDefault="00421D69" w:rsidP="008319F0">
      <w:pPr>
        <w:pStyle w:val="EndnoteText"/>
      </w:pPr>
      <w:r w:rsidRPr="00E61615">
        <w:rPr>
          <w:rStyle w:val="EndnoteReference"/>
        </w:rPr>
        <w:endnoteRef/>
      </w:r>
      <w:r w:rsidRPr="00E61615">
        <w:t xml:space="preserve"> FDA </w:t>
      </w:r>
      <w:r w:rsidR="00EB5B0D">
        <w:t xml:space="preserve">MRT </w:t>
      </w:r>
      <w:r w:rsidRPr="00E61615">
        <w:t xml:space="preserve">Meeting, </w:t>
      </w:r>
      <w:r w:rsidRPr="00E61615">
        <w:rPr>
          <w:i/>
        </w:rPr>
        <w:t>supra</w:t>
      </w:r>
      <w:r w:rsidR="00D610E0">
        <w:t xml:space="preserve"> note 21</w:t>
      </w:r>
      <w:r w:rsidRPr="00E61615">
        <w:t>, at 196-187; Kimberly Dunham-</w:t>
      </w:r>
      <w:proofErr w:type="spellStart"/>
      <w:r w:rsidRPr="00E61615">
        <w:t>Snary</w:t>
      </w:r>
      <w:proofErr w:type="spellEnd"/>
      <w:r w:rsidRPr="00E61615">
        <w:t xml:space="preserve"> &amp; Scott Ballinger, </w:t>
      </w:r>
      <w:r w:rsidRPr="00D95925">
        <w:rPr>
          <w:iCs/>
        </w:rPr>
        <w:t>Mitochondrial-nuclear DNA Mismatch Matters</w:t>
      </w:r>
      <w:r w:rsidRPr="00E61615">
        <w:t xml:space="preserve">, 349 </w:t>
      </w:r>
      <w:r w:rsidRPr="00E61615">
        <w:rPr>
          <w:smallCaps/>
        </w:rPr>
        <w:t>Science</w:t>
      </w:r>
      <w:r w:rsidRPr="00E61615">
        <w:t xml:space="preserve"> 1449, 1150 (2015); Klaus Reinhardt et al. Mitochondrial Replacement, Evolution, and the Clinic 341 </w:t>
      </w:r>
      <w:r w:rsidRPr="00E61615">
        <w:rPr>
          <w:smallCaps/>
        </w:rPr>
        <w:t>Science</w:t>
      </w:r>
      <w:r w:rsidRPr="00E61615">
        <w:t xml:space="preserve"> 1345 (2013); Paula Amato et al., Three Parent In Vitro Fertilization: Gene Replacement for the Prevention of Inherited Mitochondrial Disease, 101 </w:t>
      </w:r>
      <w:r w:rsidRPr="00E61615">
        <w:rPr>
          <w:smallCaps/>
        </w:rPr>
        <w:t>Fertility and Sterility</w:t>
      </w:r>
      <w:r w:rsidR="00C86C90">
        <w:t xml:space="preserve"> 31</w:t>
      </w:r>
      <w:r w:rsidRPr="00E61615">
        <w:t xml:space="preserve"> (2014)</w:t>
      </w:r>
      <w:r w:rsidR="00C86C90">
        <w:t xml:space="preserve"> at 34</w:t>
      </w:r>
      <w:r w:rsidRPr="00E61615">
        <w:t>.</w:t>
      </w:r>
    </w:p>
  </w:endnote>
  <w:endnote w:id="44">
    <w:p w14:paraId="2CE79F7C" w14:textId="17356C35" w:rsidR="00421D69" w:rsidRPr="00E61615" w:rsidRDefault="00421D69" w:rsidP="00D43C16">
      <w:pPr>
        <w:pStyle w:val="EndnoteText"/>
      </w:pPr>
      <w:r w:rsidRPr="00E61615">
        <w:rPr>
          <w:rStyle w:val="EndnoteReference"/>
        </w:rPr>
        <w:endnoteRef/>
      </w:r>
      <w:r w:rsidRPr="00E61615">
        <w:t xml:space="preserve"> FDA </w:t>
      </w:r>
      <w:r w:rsidR="00EB5B0D">
        <w:t xml:space="preserve">MRT </w:t>
      </w:r>
      <w:r w:rsidRPr="00E61615">
        <w:t xml:space="preserve">Brief, </w:t>
      </w:r>
      <w:r w:rsidRPr="00E61615">
        <w:rPr>
          <w:i/>
        </w:rPr>
        <w:t>supra</w:t>
      </w:r>
      <w:r w:rsidR="00C86C90">
        <w:t xml:space="preserve"> note 35</w:t>
      </w:r>
      <w:r w:rsidRPr="00E61615">
        <w:t>, at 13</w:t>
      </w:r>
      <w:r w:rsidR="00C86C90">
        <w:t>.</w:t>
      </w:r>
    </w:p>
  </w:endnote>
  <w:endnote w:id="45">
    <w:p w14:paraId="7EC8B5B3" w14:textId="55A7FB56" w:rsidR="00421D69" w:rsidRPr="00E61615" w:rsidRDefault="00421D69" w:rsidP="00D43C16">
      <w:pPr>
        <w:pStyle w:val="EndnoteText"/>
      </w:pPr>
      <w:r w:rsidRPr="00E61615">
        <w:rPr>
          <w:rStyle w:val="EndnoteReference"/>
        </w:rPr>
        <w:endnoteRef/>
      </w:r>
      <w:r w:rsidRPr="00E61615">
        <w:t xml:space="preserve"> </w:t>
      </w:r>
      <w:r w:rsidR="00C86C90" w:rsidRPr="00276D96">
        <w:t xml:space="preserve">Human Genetic Engineering on the Doorstep, </w:t>
      </w:r>
      <w:r w:rsidR="00C86C90" w:rsidRPr="00C86C90">
        <w:rPr>
          <w:smallCaps/>
        </w:rPr>
        <w:t>Human Genetics Alert</w:t>
      </w:r>
      <w:r w:rsidR="00C86C90">
        <w:t xml:space="preserve"> (November</w:t>
      </w:r>
      <w:r w:rsidR="00C86C90" w:rsidRPr="00276D96">
        <w:t xml:space="preserve"> 2012)</w:t>
      </w:r>
      <w:r w:rsidR="001E3C38">
        <w:t>,</w:t>
      </w:r>
      <w:r w:rsidR="00C86C90" w:rsidRPr="00276D96">
        <w:t xml:space="preserve"> </w:t>
      </w:r>
      <w:hyperlink r:id="rId1" w:history="1">
        <w:r w:rsidR="00C86C90" w:rsidRPr="00276D96">
          <w:rPr>
            <w:rStyle w:val="Hyperlink"/>
            <w:color w:val="auto"/>
          </w:rPr>
          <w:t>http://www.hgalert.org/Mitochondria%20briefing.pdf</w:t>
        </w:r>
      </w:hyperlink>
      <w:r w:rsidR="00C86C90" w:rsidRPr="00276D96">
        <w:t>;</w:t>
      </w:r>
      <w:r w:rsidRPr="00E61615">
        <w:t xml:space="preserve">; Reinhardt et al., </w:t>
      </w:r>
      <w:r w:rsidRPr="00E61615">
        <w:rPr>
          <w:i/>
        </w:rPr>
        <w:t>supra</w:t>
      </w:r>
      <w:r w:rsidR="00C86C90">
        <w:t xml:space="preserve"> note 43</w:t>
      </w:r>
      <w:r w:rsidRPr="00E61615">
        <w:t xml:space="preserve">, at 1346; </w:t>
      </w:r>
      <w:r w:rsidRPr="00E61615">
        <w:rPr>
          <w:i/>
        </w:rPr>
        <w:t>see also</w:t>
      </w:r>
      <w:r w:rsidRPr="00E61615">
        <w:t xml:space="preserve"> Martin Horan et al., From Evolutionary Bystander to Master Manipulator: The Emerging Roles for the Mitochondrial Genome As A Modulator of Nuclear Gene Expression, 21 </w:t>
      </w:r>
      <w:r w:rsidRPr="00E61615">
        <w:rPr>
          <w:smallCaps/>
        </w:rPr>
        <w:t>European Journal of Human Genetics</w:t>
      </w:r>
      <w:r w:rsidRPr="00E61615">
        <w:t xml:space="preserve"> 1335 at 1335-1336 (2013); Rebecca Muir et al., Mitochondrial Content Is Central To Nuclear Genome Expression: Profound Implications for Human Health, 38 </w:t>
      </w:r>
      <w:proofErr w:type="spellStart"/>
      <w:r w:rsidRPr="00E61615">
        <w:rPr>
          <w:smallCaps/>
        </w:rPr>
        <w:t>BioEssays</w:t>
      </w:r>
      <w:proofErr w:type="spellEnd"/>
      <w:r w:rsidRPr="00E61615">
        <w:t xml:space="preserve"> 150 at 152-153 (2015); Dunham-</w:t>
      </w:r>
      <w:proofErr w:type="spellStart"/>
      <w:r w:rsidRPr="00E61615">
        <w:t>Snary</w:t>
      </w:r>
      <w:proofErr w:type="spellEnd"/>
      <w:r w:rsidRPr="00E61615">
        <w:t xml:space="preserve"> &amp; Ballinger, </w:t>
      </w:r>
      <w:r w:rsidR="00C86C90" w:rsidRPr="00C86C90">
        <w:rPr>
          <w:i/>
        </w:rPr>
        <w:t>supra</w:t>
      </w:r>
      <w:r w:rsidR="00C86C90">
        <w:t xml:space="preserve"> note 43.</w:t>
      </w:r>
    </w:p>
  </w:endnote>
  <w:endnote w:id="46">
    <w:p w14:paraId="26080DE7" w14:textId="7F932A93" w:rsidR="00421D69" w:rsidRPr="00E61615" w:rsidRDefault="00421D69" w:rsidP="00D43C16">
      <w:pPr>
        <w:pStyle w:val="EndnoteText"/>
      </w:pPr>
      <w:r w:rsidRPr="00E61615">
        <w:rPr>
          <w:rStyle w:val="EndnoteReference"/>
        </w:rPr>
        <w:endnoteRef/>
      </w:r>
      <w:r w:rsidRPr="00E61615">
        <w:t xml:space="preserve"> FDA </w:t>
      </w:r>
      <w:r w:rsidR="00EB5B0D">
        <w:t xml:space="preserve">MRT </w:t>
      </w:r>
      <w:r w:rsidRPr="00E61615">
        <w:t xml:space="preserve">Meeting, </w:t>
      </w:r>
      <w:r w:rsidRPr="00E61615">
        <w:rPr>
          <w:i/>
        </w:rPr>
        <w:t>supra</w:t>
      </w:r>
      <w:r w:rsidR="00C86C90">
        <w:t xml:space="preserve"> note 21</w:t>
      </w:r>
      <w:r w:rsidRPr="00E61615">
        <w:t>, at 185, 251; Dunham-</w:t>
      </w:r>
      <w:proofErr w:type="spellStart"/>
      <w:r w:rsidRPr="00E61615">
        <w:t>Snary</w:t>
      </w:r>
      <w:proofErr w:type="spellEnd"/>
      <w:r w:rsidRPr="00E61615">
        <w:t xml:space="preserve"> &amp; Ballinger, </w:t>
      </w:r>
      <w:r w:rsidRPr="00E61615">
        <w:rPr>
          <w:i/>
        </w:rPr>
        <w:t>supra</w:t>
      </w:r>
      <w:r w:rsidR="00C86C90">
        <w:t xml:space="preserve"> note 43</w:t>
      </w:r>
      <w:r w:rsidRPr="00E61615">
        <w:t>.</w:t>
      </w:r>
    </w:p>
  </w:endnote>
  <w:endnote w:id="47">
    <w:p w14:paraId="2FCD58A2" w14:textId="70D5DB3E" w:rsidR="00421D69" w:rsidRPr="007F02E9" w:rsidRDefault="00421D69" w:rsidP="008319F0">
      <w:pPr>
        <w:pStyle w:val="EndnoteText"/>
      </w:pPr>
      <w:r w:rsidRPr="007F02E9">
        <w:rPr>
          <w:rStyle w:val="EndnoteReference"/>
        </w:rPr>
        <w:endnoteRef/>
      </w:r>
      <w:r w:rsidRPr="007F02E9">
        <w:t xml:space="preserve"> </w:t>
      </w:r>
      <w:proofErr w:type="spellStart"/>
      <w:r w:rsidR="001E3C38" w:rsidRPr="00D95925">
        <w:rPr>
          <w:iCs/>
        </w:rPr>
        <w:t>Midic</w:t>
      </w:r>
      <w:proofErr w:type="spellEnd"/>
      <w:r w:rsidR="00D95925">
        <w:rPr>
          <w:iCs/>
        </w:rPr>
        <w:t xml:space="preserve"> et al.</w:t>
      </w:r>
      <w:r w:rsidR="001E3C38" w:rsidRPr="00D95925">
        <w:rPr>
          <w:iCs/>
        </w:rPr>
        <w:t>,</w:t>
      </w:r>
      <w:r w:rsidR="001E3C38">
        <w:rPr>
          <w:i/>
        </w:rPr>
        <w:t xml:space="preserve"> su</w:t>
      </w:r>
      <w:r w:rsidR="00D95925">
        <w:rPr>
          <w:i/>
        </w:rPr>
        <w:t>pr</w:t>
      </w:r>
      <w:r w:rsidR="001E3C38">
        <w:rPr>
          <w:i/>
        </w:rPr>
        <w:t xml:space="preserve">a </w:t>
      </w:r>
      <w:r w:rsidR="001E3C38" w:rsidRPr="00D95925">
        <w:rPr>
          <w:iCs/>
        </w:rPr>
        <w:t xml:space="preserve">note 14, </w:t>
      </w:r>
      <w:r w:rsidRPr="00D95925">
        <w:rPr>
          <w:iCs/>
        </w:rPr>
        <w:t>at</w:t>
      </w:r>
      <w:r w:rsidRPr="007F02E9">
        <w:t xml:space="preserve"> 2685; </w:t>
      </w:r>
      <w:r w:rsidR="00C86C90" w:rsidRPr="00C86C90">
        <w:t>Human Genome Editing: Science, Ethics, and Governance</w:t>
      </w:r>
      <w:r w:rsidR="00C86C90">
        <w:rPr>
          <w:i/>
        </w:rPr>
        <w:t>,</w:t>
      </w:r>
      <w:r w:rsidR="00C86C90" w:rsidRPr="007F02E9">
        <w:t xml:space="preserve"> National Academies of Scie</w:t>
      </w:r>
      <w:r w:rsidR="00C86C90">
        <w:t>nces, Engineering, and Medicine</w:t>
      </w:r>
      <w:r w:rsidR="00C86C90" w:rsidRPr="007F02E9">
        <w:t xml:space="preserve"> (Washington D.C.: </w:t>
      </w:r>
      <w:r w:rsidR="00C86C90">
        <w:t xml:space="preserve">National Academies Press, 2017), </w:t>
      </w:r>
      <w:hyperlink r:id="rId2" w:history="1">
        <w:r w:rsidR="00C86C90" w:rsidRPr="00CB1465">
          <w:rPr>
            <w:rStyle w:val="Hyperlink"/>
          </w:rPr>
          <w:t>https://www.nap.edu/catalog/24623/human-genome-editing-science-ethics-and-governance</w:t>
        </w:r>
      </w:hyperlink>
      <w:r w:rsidR="00C86C90">
        <w:t xml:space="preserve"> </w:t>
      </w:r>
      <w:r w:rsidR="00C86C90" w:rsidRPr="007F02E9">
        <w:t xml:space="preserve"> (hereinafter “</w:t>
      </w:r>
      <w:r w:rsidR="00C86C90">
        <w:t>NAS Human Genome Editing Report</w:t>
      </w:r>
      <w:r w:rsidR="00C86C90" w:rsidRPr="007F02E9">
        <w:t>”)</w:t>
      </w:r>
      <w:r w:rsidR="00C86C90">
        <w:t xml:space="preserve"> at </w:t>
      </w:r>
      <w:r w:rsidRPr="007F02E9">
        <w:t>56.</w:t>
      </w:r>
    </w:p>
  </w:endnote>
  <w:endnote w:id="48">
    <w:p w14:paraId="73CE1AC9" w14:textId="2D4B0C1C" w:rsidR="00421D69" w:rsidRPr="007F02E9" w:rsidRDefault="00421D69" w:rsidP="008319F0">
      <w:pPr>
        <w:pStyle w:val="EndnoteText"/>
      </w:pPr>
      <w:r w:rsidRPr="007F02E9">
        <w:rPr>
          <w:rStyle w:val="EndnoteReference"/>
        </w:rPr>
        <w:endnoteRef/>
      </w:r>
      <w:r w:rsidRPr="007F02E9">
        <w:t xml:space="preserve"> </w:t>
      </w:r>
      <w:proofErr w:type="spellStart"/>
      <w:r w:rsidRPr="007F02E9">
        <w:t>Midic</w:t>
      </w:r>
      <w:proofErr w:type="spellEnd"/>
      <w:r w:rsidRPr="007F02E9">
        <w:t xml:space="preserve"> et al., </w:t>
      </w:r>
      <w:r w:rsidRPr="007F02E9">
        <w:rPr>
          <w:i/>
        </w:rPr>
        <w:t>supra</w:t>
      </w:r>
      <w:r w:rsidR="00EB5B0D">
        <w:t xml:space="preserve"> note 14</w:t>
      </w:r>
      <w:r w:rsidRPr="007F02E9">
        <w:t>, at 2679.</w:t>
      </w:r>
    </w:p>
  </w:endnote>
  <w:endnote w:id="49">
    <w:p w14:paraId="44E68C5A" w14:textId="77777777" w:rsidR="00421D69" w:rsidRPr="007F02E9" w:rsidRDefault="00421D69" w:rsidP="008319F0">
      <w:pPr>
        <w:pStyle w:val="EndnoteText"/>
      </w:pPr>
      <w:r w:rsidRPr="007F02E9">
        <w:rPr>
          <w:rStyle w:val="EndnoteReference"/>
        </w:rPr>
        <w:endnoteRef/>
      </w:r>
      <w:r w:rsidRPr="007F02E9">
        <w:t xml:space="preserve"> </w:t>
      </w:r>
      <w:r w:rsidRPr="007F02E9">
        <w:rPr>
          <w:i/>
        </w:rPr>
        <w:t>Id</w:t>
      </w:r>
      <w:r w:rsidRPr="007F02E9">
        <w:t xml:space="preserve">. </w:t>
      </w:r>
    </w:p>
  </w:endnote>
  <w:endnote w:id="50">
    <w:p w14:paraId="1EBF847A" w14:textId="30BDF027" w:rsidR="00421D69" w:rsidRPr="00A10D92" w:rsidRDefault="00421D69" w:rsidP="008319F0">
      <w:pPr>
        <w:pStyle w:val="EndnoteText"/>
      </w:pPr>
      <w:r w:rsidRPr="007F02E9">
        <w:rPr>
          <w:rStyle w:val="EndnoteReference"/>
        </w:rPr>
        <w:endnoteRef/>
      </w:r>
      <w:r w:rsidRPr="007F02E9">
        <w:t xml:space="preserve"> </w:t>
      </w:r>
      <w:proofErr w:type="gramStart"/>
      <w:r w:rsidR="00A10D92">
        <w:t>FDA MRT Meeting,</w:t>
      </w:r>
      <w:proofErr w:type="gramEnd"/>
      <w:r w:rsidR="00A10D92">
        <w:t xml:space="preserve"> supra note 21.</w:t>
      </w:r>
      <w:r w:rsidRPr="007F02E9">
        <w:rPr>
          <w:i/>
        </w:rPr>
        <w:t xml:space="preserve"> </w:t>
      </w:r>
    </w:p>
  </w:endnote>
  <w:endnote w:id="51">
    <w:p w14:paraId="6E743775" w14:textId="5B54982E" w:rsidR="00421D69" w:rsidRPr="007F02E9" w:rsidRDefault="00421D69" w:rsidP="0081054E">
      <w:pPr>
        <w:pStyle w:val="EndnoteText"/>
      </w:pPr>
      <w:r w:rsidRPr="007F02E9">
        <w:rPr>
          <w:rStyle w:val="EndnoteReference"/>
        </w:rPr>
        <w:endnoteRef/>
      </w:r>
      <w:r w:rsidRPr="007F02E9">
        <w:t xml:space="preserve"> NAS MRT Report, </w:t>
      </w:r>
      <w:r w:rsidRPr="007F02E9">
        <w:rPr>
          <w:i/>
        </w:rPr>
        <w:t>supra</w:t>
      </w:r>
      <w:r w:rsidR="00A10D92">
        <w:t xml:space="preserve"> note 21</w:t>
      </w:r>
      <w:r w:rsidRPr="007F02E9">
        <w:t>, at 94-95.</w:t>
      </w:r>
    </w:p>
  </w:endnote>
  <w:endnote w:id="52">
    <w:p w14:paraId="7B8069C7" w14:textId="3FF423C2" w:rsidR="00421D69" w:rsidRPr="007F02E9" w:rsidRDefault="00421D69" w:rsidP="0081054E">
      <w:pPr>
        <w:pStyle w:val="EndnoteText"/>
      </w:pPr>
      <w:r w:rsidRPr="007F02E9">
        <w:rPr>
          <w:rStyle w:val="EndnoteReference"/>
        </w:rPr>
        <w:endnoteRef/>
      </w:r>
      <w:r w:rsidRPr="007F02E9">
        <w:t xml:space="preserve"> </w:t>
      </w:r>
      <w:r w:rsidR="00A10D92">
        <w:t>J</w:t>
      </w:r>
      <w:r w:rsidR="00D95925">
        <w:t>acqueline</w:t>
      </w:r>
      <w:r w:rsidR="00A10D92">
        <w:t xml:space="preserve"> Corrigan-</w:t>
      </w:r>
      <w:proofErr w:type="spellStart"/>
      <w:r w:rsidR="00A10D92">
        <w:t>Curay</w:t>
      </w:r>
      <w:proofErr w:type="spellEnd"/>
      <w:r w:rsidR="00A10D92">
        <w:t xml:space="preserve"> et al., </w:t>
      </w:r>
      <w:r w:rsidR="00A10D92" w:rsidRPr="007F02E9">
        <w:t>Genome Editing Technologies:</w:t>
      </w:r>
      <w:r w:rsidR="00A10D92">
        <w:t xml:space="preserve"> Defining a Path to the Clinic, 23(5)</w:t>
      </w:r>
      <w:r w:rsidR="00A10D92" w:rsidRPr="007F02E9">
        <w:t xml:space="preserve"> </w:t>
      </w:r>
      <w:r w:rsidR="00A10D92" w:rsidRPr="00A10D92">
        <w:rPr>
          <w:smallCaps/>
        </w:rPr>
        <w:t>Molecular Therapy</w:t>
      </w:r>
      <w:r w:rsidR="00A10D92">
        <w:t xml:space="preserve"> 796 (2015).</w:t>
      </w:r>
    </w:p>
  </w:endnote>
  <w:endnote w:id="53">
    <w:p w14:paraId="70DB58C3" w14:textId="0B4844FA" w:rsidR="00421D69" w:rsidRPr="007F02E9" w:rsidRDefault="00421D69" w:rsidP="0081054E">
      <w:pPr>
        <w:pStyle w:val="EndnoteText"/>
      </w:pPr>
      <w:r w:rsidRPr="007F02E9">
        <w:rPr>
          <w:rStyle w:val="EndnoteReference"/>
        </w:rPr>
        <w:endnoteRef/>
      </w:r>
      <w:r w:rsidR="00A10D92">
        <w:t xml:space="preserve"> Kang et al., </w:t>
      </w:r>
      <w:r w:rsidR="00A10D92" w:rsidRPr="00A10D92">
        <w:rPr>
          <w:i/>
        </w:rPr>
        <w:t>supra</w:t>
      </w:r>
      <w:r w:rsidR="00A10D92">
        <w:t xml:space="preserve"> note 14, </w:t>
      </w:r>
      <w:r w:rsidRPr="007F02E9">
        <w:t xml:space="preserve">at 587. </w:t>
      </w:r>
    </w:p>
  </w:endnote>
  <w:endnote w:id="54">
    <w:p w14:paraId="6E8D4CE3" w14:textId="2F952199" w:rsidR="00421D69" w:rsidRPr="007F02E9" w:rsidRDefault="00421D69" w:rsidP="0081054E">
      <w:pPr>
        <w:pStyle w:val="EndnoteText"/>
      </w:pPr>
      <w:r w:rsidRPr="007F02E9">
        <w:rPr>
          <w:rStyle w:val="EndnoteReference"/>
        </w:rPr>
        <w:endnoteRef/>
      </w:r>
      <w:r w:rsidRPr="007F02E9">
        <w:t xml:space="preserve"> </w:t>
      </w:r>
      <w:r w:rsidRPr="007F02E9">
        <w:rPr>
          <w:i/>
        </w:rPr>
        <w:t>Id</w:t>
      </w:r>
      <w:r w:rsidR="00A10D92">
        <w:t xml:space="preserve">.; Newman, </w:t>
      </w:r>
      <w:r w:rsidR="00A10D92" w:rsidRPr="00A10D92">
        <w:rPr>
          <w:i/>
        </w:rPr>
        <w:t>supra</w:t>
      </w:r>
      <w:r w:rsidR="00A10D92">
        <w:t xml:space="preserve"> note 13</w:t>
      </w:r>
      <w:r w:rsidRPr="007F02E9">
        <w:t xml:space="preserve">; </w:t>
      </w:r>
      <w:r w:rsidRPr="007F02E9">
        <w:rPr>
          <w:i/>
        </w:rPr>
        <w:t>see also</w:t>
      </w:r>
      <w:r w:rsidRPr="007F02E9">
        <w:t xml:space="preserve"> </w:t>
      </w:r>
      <w:r w:rsidR="00A10D92">
        <w:t xml:space="preserve">Tetsuya Ishii, </w:t>
      </w:r>
      <w:r w:rsidR="00A10D92" w:rsidRPr="007F02E9">
        <w:t xml:space="preserve">Germ Line Genome Editing in the Clinics: The Approaches, </w:t>
      </w:r>
      <w:r w:rsidR="00A10D92">
        <w:t>Objectives, and Global Society, 16(1)</w:t>
      </w:r>
      <w:r w:rsidR="00A10D92" w:rsidRPr="007F02E9">
        <w:t xml:space="preserve"> </w:t>
      </w:r>
      <w:r w:rsidR="00A10D92" w:rsidRPr="00A10D92">
        <w:rPr>
          <w:smallCaps/>
        </w:rPr>
        <w:t>Briefings in Functional Genomics</w:t>
      </w:r>
      <w:r w:rsidR="00A10D92">
        <w:t xml:space="preserve"> 46 (2017) at </w:t>
      </w:r>
      <w:r w:rsidRPr="007F02E9">
        <w:t>49.</w:t>
      </w:r>
    </w:p>
  </w:endnote>
  <w:endnote w:id="55">
    <w:p w14:paraId="26E92E5F" w14:textId="0E7BFC6C" w:rsidR="00421D69" w:rsidRPr="007F02E9" w:rsidRDefault="00421D69" w:rsidP="00411E24">
      <w:pPr>
        <w:pStyle w:val="EndnoteText"/>
      </w:pPr>
      <w:r w:rsidRPr="007F02E9">
        <w:rPr>
          <w:rStyle w:val="EndnoteReference"/>
        </w:rPr>
        <w:endnoteRef/>
      </w:r>
      <w:r w:rsidR="00A10D92">
        <w:t xml:space="preserve"> </w:t>
      </w:r>
      <w:proofErr w:type="gramStart"/>
      <w:r w:rsidRPr="007F02E9">
        <w:t>Newman,</w:t>
      </w:r>
      <w:proofErr w:type="gramEnd"/>
      <w:r w:rsidRPr="007F02E9">
        <w:t xml:space="preserve"> </w:t>
      </w:r>
      <w:r w:rsidRPr="007F02E9">
        <w:rPr>
          <w:i/>
        </w:rPr>
        <w:t>supra</w:t>
      </w:r>
      <w:r w:rsidR="00A10D92">
        <w:t xml:space="preserve"> note 13</w:t>
      </w:r>
      <w:r w:rsidRPr="007F02E9">
        <w:t>; S</w:t>
      </w:r>
      <w:r w:rsidR="00A10D92">
        <w:t>tuart</w:t>
      </w:r>
      <w:r w:rsidRPr="007F02E9">
        <w:t xml:space="preserve"> Newman, The Hazards of Human Developmental Gene Modification, </w:t>
      </w:r>
      <w:r w:rsidR="00A10D92">
        <w:t xml:space="preserve">13(3) </w:t>
      </w:r>
      <w:r w:rsidRPr="00D95925">
        <w:rPr>
          <w:iCs/>
          <w:smallCaps/>
        </w:rPr>
        <w:t>Gene Watch</w:t>
      </w:r>
      <w:r w:rsidR="00A10D92">
        <w:t xml:space="preserve"> 10 (2000).</w:t>
      </w:r>
    </w:p>
  </w:endnote>
  <w:endnote w:id="56">
    <w:p w14:paraId="3DCB8984" w14:textId="247CC5F3" w:rsidR="00421D69" w:rsidRPr="007F02E9" w:rsidRDefault="00421D69" w:rsidP="0081054E">
      <w:pPr>
        <w:pStyle w:val="EndnoteText"/>
      </w:pPr>
      <w:r w:rsidRPr="007F02E9">
        <w:rPr>
          <w:rStyle w:val="EndnoteReference"/>
        </w:rPr>
        <w:endnoteRef/>
      </w:r>
      <w:r w:rsidRPr="007F02E9">
        <w:t xml:space="preserve"> Newman, </w:t>
      </w:r>
      <w:r w:rsidRPr="007F02E9">
        <w:rPr>
          <w:i/>
        </w:rPr>
        <w:t>supra</w:t>
      </w:r>
      <w:r w:rsidR="00A10D92">
        <w:t xml:space="preserve"> note 13</w:t>
      </w:r>
      <w:r w:rsidRPr="007F02E9">
        <w:t>, at 451.</w:t>
      </w:r>
    </w:p>
  </w:endnote>
  <w:endnote w:id="57">
    <w:p w14:paraId="4BF0E1A9" w14:textId="61EA32ED" w:rsidR="00421D69" w:rsidRPr="007F02E9" w:rsidRDefault="00421D69" w:rsidP="0081054E">
      <w:pPr>
        <w:pStyle w:val="EndnoteText"/>
      </w:pPr>
      <w:r w:rsidRPr="007F02E9">
        <w:rPr>
          <w:rStyle w:val="EndnoteReference"/>
        </w:rPr>
        <w:endnoteRef/>
      </w:r>
      <w:r w:rsidRPr="007F02E9">
        <w:t xml:space="preserve"> Kang et al., </w:t>
      </w:r>
      <w:r w:rsidRPr="007F02E9">
        <w:rPr>
          <w:i/>
        </w:rPr>
        <w:t>supra</w:t>
      </w:r>
      <w:r w:rsidR="00A10D92">
        <w:t xml:space="preserve"> note 14</w:t>
      </w:r>
      <w:r w:rsidRPr="007F02E9">
        <w:t>, at 587.</w:t>
      </w:r>
    </w:p>
  </w:endnote>
  <w:endnote w:id="58">
    <w:p w14:paraId="730DFC10" w14:textId="6EE405FE" w:rsidR="00421D69" w:rsidRPr="007F02E9" w:rsidRDefault="00421D69" w:rsidP="0081054E">
      <w:pPr>
        <w:pStyle w:val="EndnoteText"/>
      </w:pPr>
      <w:r w:rsidRPr="007F02E9">
        <w:rPr>
          <w:rStyle w:val="EndnoteReference"/>
        </w:rPr>
        <w:endnoteRef/>
      </w:r>
      <w:r w:rsidRPr="007F02E9">
        <w:t xml:space="preserve"> </w:t>
      </w:r>
      <w:proofErr w:type="gramStart"/>
      <w:r w:rsidRPr="007F02E9">
        <w:t>Human Genetics Alert,</w:t>
      </w:r>
      <w:proofErr w:type="gramEnd"/>
      <w:r w:rsidRPr="007F02E9">
        <w:t xml:space="preserve"> </w:t>
      </w:r>
      <w:r w:rsidRPr="007F02E9">
        <w:rPr>
          <w:i/>
        </w:rPr>
        <w:t>supra</w:t>
      </w:r>
      <w:r w:rsidR="00A10D92">
        <w:t xml:space="preserve"> note 45</w:t>
      </w:r>
      <w:r w:rsidRPr="007F02E9">
        <w:t>.</w:t>
      </w:r>
    </w:p>
  </w:endnote>
  <w:endnote w:id="59">
    <w:p w14:paraId="65EA33F6" w14:textId="432CBCED" w:rsidR="00421D69" w:rsidRPr="007F02E9" w:rsidRDefault="00421D69" w:rsidP="0081054E">
      <w:pPr>
        <w:pStyle w:val="EndnoteText"/>
      </w:pPr>
      <w:r w:rsidRPr="007F02E9">
        <w:rPr>
          <w:rStyle w:val="EndnoteReference"/>
        </w:rPr>
        <w:endnoteRef/>
      </w:r>
      <w:r w:rsidRPr="007F02E9">
        <w:t xml:space="preserve"> </w:t>
      </w:r>
      <w:r w:rsidRPr="007F02E9">
        <w:rPr>
          <w:i/>
        </w:rPr>
        <w:t>Id.</w:t>
      </w:r>
      <w:r w:rsidR="00A10D92">
        <w:t xml:space="preserve"> at 56; N</w:t>
      </w:r>
      <w:r w:rsidR="00D95925">
        <w:t>icklaus</w:t>
      </w:r>
      <w:r w:rsidR="00A10D92">
        <w:t xml:space="preserve"> </w:t>
      </w:r>
      <w:proofErr w:type="spellStart"/>
      <w:r w:rsidR="00A10D92">
        <w:t>Evitt</w:t>
      </w:r>
      <w:proofErr w:type="spellEnd"/>
      <w:r w:rsidR="00A10D92">
        <w:t xml:space="preserve"> et al., </w:t>
      </w:r>
      <w:r w:rsidRPr="007F02E9">
        <w:t>Human Germline CRISPR-CAS Modification:</w:t>
      </w:r>
      <w:r w:rsidR="00A10D92">
        <w:t xml:space="preserve"> Toward a Regulatory Framework,</w:t>
      </w:r>
      <w:r w:rsidRPr="007F02E9">
        <w:t xml:space="preserve"> </w:t>
      </w:r>
      <w:r w:rsidR="00A10D92">
        <w:t xml:space="preserve">15(2) </w:t>
      </w:r>
      <w:r w:rsidRPr="00A10D92">
        <w:rPr>
          <w:smallCaps/>
        </w:rPr>
        <w:t>American Journal of Bioethics</w:t>
      </w:r>
      <w:r w:rsidRPr="007F02E9">
        <w:rPr>
          <w:smallCaps/>
        </w:rPr>
        <w:t xml:space="preserve"> </w:t>
      </w:r>
      <w:r w:rsidR="00A10D92">
        <w:t xml:space="preserve">25 (2015) </w:t>
      </w:r>
      <w:r w:rsidRPr="007F02E9">
        <w:t>at 26; E</w:t>
      </w:r>
      <w:r w:rsidR="00A10D92">
        <w:t xml:space="preserve">liot </w:t>
      </w:r>
      <w:proofErr w:type="spellStart"/>
      <w:r w:rsidR="00A10D92">
        <w:t>Hosman</w:t>
      </w:r>
      <w:proofErr w:type="spellEnd"/>
      <w:r w:rsidR="00A10D92">
        <w:t xml:space="preserve">, </w:t>
      </w:r>
      <w:r w:rsidRPr="007F02E9">
        <w:t xml:space="preserve">CRISPR Gene Editing: Proofreaders and Undo </w:t>
      </w:r>
      <w:r w:rsidR="00A10D92">
        <w:t>Buttons, But Ever Safe Enough?,</w:t>
      </w:r>
      <w:r w:rsidRPr="007F02E9">
        <w:t xml:space="preserve"> </w:t>
      </w:r>
      <w:r w:rsidRPr="00A10D92">
        <w:rPr>
          <w:smallCaps/>
        </w:rPr>
        <w:t>The Center for Genetics and Society</w:t>
      </w:r>
      <w:r w:rsidRPr="007F02E9">
        <w:t xml:space="preserve"> </w:t>
      </w:r>
      <w:r w:rsidR="00A10D92">
        <w:t>(</w:t>
      </w:r>
      <w:r w:rsidRPr="007F02E9">
        <w:t>November 19, 2015</w:t>
      </w:r>
      <w:r w:rsidR="00A10D92">
        <w:t>)</w:t>
      </w:r>
      <w:r w:rsidRPr="007F02E9">
        <w:t xml:space="preserve">, </w:t>
      </w:r>
      <w:r w:rsidR="00D95925">
        <w:t>h</w:t>
      </w:r>
      <w:r w:rsidRPr="007F02E9">
        <w:t>ttps://www.geneticsandsociety.org/biopolitical-times/crispr-gene-editing-proofreaders-an</w:t>
      </w:r>
      <w:r w:rsidR="00A10D92">
        <w:t>d-undo-buttons-ever-safe-enough</w:t>
      </w:r>
      <w:r w:rsidRPr="007F02E9">
        <w:t>.</w:t>
      </w:r>
    </w:p>
  </w:endnote>
  <w:endnote w:id="60">
    <w:p w14:paraId="64D83F1A" w14:textId="716F68E3" w:rsidR="00421D69" w:rsidRPr="007F02E9" w:rsidRDefault="00421D69" w:rsidP="0081054E">
      <w:pPr>
        <w:pStyle w:val="EndnoteText"/>
      </w:pPr>
      <w:r w:rsidRPr="007F02E9">
        <w:rPr>
          <w:rStyle w:val="EndnoteReference"/>
        </w:rPr>
        <w:endnoteRef/>
      </w:r>
      <w:r w:rsidRPr="007F02E9">
        <w:t xml:space="preserve"> Newman, </w:t>
      </w:r>
      <w:r w:rsidRPr="007F02E9">
        <w:rPr>
          <w:i/>
        </w:rPr>
        <w:t>supra</w:t>
      </w:r>
      <w:r w:rsidR="00A10D92">
        <w:t xml:space="preserve"> note 13</w:t>
      </w:r>
      <w:r w:rsidRPr="007F02E9">
        <w:t>, at 451.</w:t>
      </w:r>
    </w:p>
  </w:endnote>
  <w:endnote w:id="61">
    <w:p w14:paraId="7F9F0A93" w14:textId="42564B14" w:rsidR="00421D69" w:rsidRPr="007F02E9" w:rsidRDefault="00421D69" w:rsidP="008E3D70">
      <w:pPr>
        <w:pStyle w:val="EndnoteText"/>
      </w:pPr>
      <w:r w:rsidRPr="007F02E9">
        <w:rPr>
          <w:rStyle w:val="EndnoteReference"/>
        </w:rPr>
        <w:endnoteRef/>
      </w:r>
      <w:r w:rsidRPr="007F02E9">
        <w:t xml:space="preserve"> Kang et al., </w:t>
      </w:r>
      <w:r w:rsidRPr="007F02E9">
        <w:rPr>
          <w:i/>
        </w:rPr>
        <w:t>supra</w:t>
      </w:r>
      <w:r w:rsidR="00A10D92">
        <w:t xml:space="preserve"> note 14</w:t>
      </w:r>
      <w:r w:rsidRPr="007F02E9">
        <w:t xml:space="preserve">, at 585, 587; </w:t>
      </w:r>
      <w:proofErr w:type="spellStart"/>
      <w:r w:rsidRPr="007F02E9">
        <w:t>Midic</w:t>
      </w:r>
      <w:proofErr w:type="spellEnd"/>
      <w:r w:rsidRPr="007F02E9">
        <w:t xml:space="preserve"> et al., </w:t>
      </w:r>
      <w:r w:rsidRPr="007F02E9">
        <w:rPr>
          <w:i/>
        </w:rPr>
        <w:t>supra</w:t>
      </w:r>
      <w:r w:rsidR="00A10D92">
        <w:t xml:space="preserve"> note 14</w:t>
      </w:r>
      <w:r w:rsidRPr="007F02E9">
        <w:t xml:space="preserve">, at 2684; Liang et al., </w:t>
      </w:r>
      <w:r w:rsidRPr="007F02E9">
        <w:rPr>
          <w:i/>
        </w:rPr>
        <w:t>supra</w:t>
      </w:r>
      <w:r w:rsidR="00A10D92">
        <w:t xml:space="preserve"> note 1</w:t>
      </w:r>
      <w:r w:rsidRPr="007F02E9">
        <w:t xml:space="preserve">4, at 364, 366; Chen et al., </w:t>
      </w:r>
      <w:r w:rsidRPr="007F02E9">
        <w:rPr>
          <w:i/>
        </w:rPr>
        <w:t>supra</w:t>
      </w:r>
      <w:r w:rsidR="00A10D92">
        <w:t xml:space="preserve"> note 14</w:t>
      </w:r>
      <w:r w:rsidRPr="007F02E9">
        <w:t>, at 3765.</w:t>
      </w:r>
    </w:p>
  </w:endnote>
  <w:endnote w:id="62">
    <w:p w14:paraId="0F763AFB" w14:textId="3AEDCA6E" w:rsidR="00421D69" w:rsidRPr="007F02E9" w:rsidRDefault="00421D69" w:rsidP="00604CA0">
      <w:pPr>
        <w:pStyle w:val="EndnoteText"/>
      </w:pPr>
      <w:r w:rsidRPr="007F02E9">
        <w:rPr>
          <w:rStyle w:val="EndnoteReference"/>
        </w:rPr>
        <w:endnoteRef/>
      </w:r>
      <w:r w:rsidRPr="007F02E9">
        <w:t xml:space="preserve"> </w:t>
      </w:r>
      <w:r w:rsidRPr="007F02E9">
        <w:rPr>
          <w:i/>
        </w:rPr>
        <w:t>See generally</w:t>
      </w:r>
      <w:r w:rsidR="004F78C3">
        <w:t xml:space="preserve"> Campbell et al., </w:t>
      </w:r>
      <w:r w:rsidR="00D95925" w:rsidRPr="00D95925">
        <w:rPr>
          <w:i/>
          <w:iCs/>
        </w:rPr>
        <w:t>supra</w:t>
      </w:r>
      <w:r w:rsidR="00D95925">
        <w:t xml:space="preserve"> note 15; </w:t>
      </w:r>
      <w:proofErr w:type="spellStart"/>
      <w:r w:rsidR="004F78C3">
        <w:t>Vi</w:t>
      </w:r>
      <w:r w:rsidR="00D95925">
        <w:t>j</w:t>
      </w:r>
      <w:r w:rsidR="004F78C3">
        <w:t>g</w:t>
      </w:r>
      <w:proofErr w:type="spellEnd"/>
      <w:r w:rsidR="004F78C3">
        <w:t xml:space="preserve"> et al., </w:t>
      </w:r>
      <w:r w:rsidR="00D95925" w:rsidRPr="00D95925">
        <w:rPr>
          <w:i/>
          <w:iCs/>
        </w:rPr>
        <w:t>supra</w:t>
      </w:r>
      <w:r w:rsidR="00D95925">
        <w:t xml:space="preserve"> note 15.</w:t>
      </w:r>
    </w:p>
  </w:endnote>
  <w:endnote w:id="63">
    <w:p w14:paraId="3C9BC2E7" w14:textId="200FE53C" w:rsidR="00421D69" w:rsidRPr="007F02E9" w:rsidRDefault="00421D69" w:rsidP="008E3D70">
      <w:pPr>
        <w:pStyle w:val="EndnoteText"/>
      </w:pPr>
      <w:r w:rsidRPr="007F02E9">
        <w:rPr>
          <w:rStyle w:val="EndnoteReference"/>
        </w:rPr>
        <w:endnoteRef/>
      </w:r>
      <w:r w:rsidRPr="007F02E9">
        <w:t xml:space="preserve"> </w:t>
      </w:r>
      <w:proofErr w:type="spellStart"/>
      <w:r w:rsidRPr="007F02E9">
        <w:t>Midic</w:t>
      </w:r>
      <w:proofErr w:type="spellEnd"/>
      <w:r w:rsidRPr="007F02E9">
        <w:t xml:space="preserve"> et al., </w:t>
      </w:r>
      <w:r w:rsidRPr="007F02E9">
        <w:rPr>
          <w:i/>
        </w:rPr>
        <w:t>supra</w:t>
      </w:r>
      <w:r w:rsidR="004F78C3">
        <w:t xml:space="preserve"> note 14</w:t>
      </w:r>
      <w:r w:rsidRPr="007F02E9">
        <w:t xml:space="preserve">, at 2684; Chen et al., </w:t>
      </w:r>
      <w:r w:rsidRPr="007F02E9">
        <w:rPr>
          <w:i/>
        </w:rPr>
        <w:t>supra</w:t>
      </w:r>
      <w:r w:rsidR="004F78C3">
        <w:t xml:space="preserve"> note 14</w:t>
      </w:r>
      <w:r w:rsidRPr="007F02E9">
        <w:t>, at 3765.</w:t>
      </w:r>
    </w:p>
  </w:endnote>
  <w:endnote w:id="64">
    <w:p w14:paraId="3E90F188" w14:textId="059E7AC9" w:rsidR="00421D69" w:rsidRPr="007F02E9" w:rsidRDefault="00421D69" w:rsidP="008E3D70">
      <w:pPr>
        <w:pStyle w:val="EndnoteText"/>
      </w:pPr>
      <w:r w:rsidRPr="007F02E9">
        <w:rPr>
          <w:rStyle w:val="EndnoteReference"/>
        </w:rPr>
        <w:endnoteRef/>
      </w:r>
      <w:r w:rsidRPr="007F02E9">
        <w:t xml:space="preserve"> Kang et al., </w:t>
      </w:r>
      <w:r w:rsidRPr="007F02E9">
        <w:rPr>
          <w:i/>
        </w:rPr>
        <w:t>supra</w:t>
      </w:r>
      <w:r w:rsidR="004F78C3">
        <w:t xml:space="preserve"> note 14</w:t>
      </w:r>
      <w:r w:rsidRPr="007F02E9">
        <w:t>, at 585.</w:t>
      </w:r>
    </w:p>
  </w:endnote>
  <w:endnote w:id="65">
    <w:p w14:paraId="3B4C35F9" w14:textId="51755C2A" w:rsidR="00421D69" w:rsidRPr="007F02E9" w:rsidRDefault="00421D69" w:rsidP="008E3D70">
      <w:pPr>
        <w:pStyle w:val="EndnoteText"/>
      </w:pPr>
      <w:r w:rsidRPr="007F02E9">
        <w:rPr>
          <w:rStyle w:val="EndnoteReference"/>
        </w:rPr>
        <w:endnoteRef/>
      </w:r>
      <w:r w:rsidRPr="007F02E9">
        <w:t xml:space="preserve"> NAS Human Genome Editing Report, </w:t>
      </w:r>
      <w:r w:rsidRPr="007F02E9">
        <w:rPr>
          <w:i/>
        </w:rPr>
        <w:t>supra</w:t>
      </w:r>
      <w:r w:rsidR="004F78C3">
        <w:t xml:space="preserve"> note 47</w:t>
      </w:r>
      <w:r w:rsidRPr="007F02E9">
        <w:t xml:space="preserve">, at 89; </w:t>
      </w:r>
      <w:r w:rsidR="004F78C3">
        <w:t xml:space="preserve">Tetsuya </w:t>
      </w:r>
      <w:r w:rsidRPr="007F02E9">
        <w:t xml:space="preserve">Ishii, </w:t>
      </w:r>
      <w:r w:rsidR="004F78C3" w:rsidRPr="007F02E9">
        <w:t>Reproductive Medicine Involving Genome Editing: Clinical Uncerta</w:t>
      </w:r>
      <w:r w:rsidR="004F78C3">
        <w:t>inties and Embryological Needs, 34(1)</w:t>
      </w:r>
      <w:r w:rsidR="004F78C3" w:rsidRPr="007F02E9">
        <w:t xml:space="preserve"> </w:t>
      </w:r>
      <w:r w:rsidR="004F78C3" w:rsidRPr="004F78C3">
        <w:rPr>
          <w:smallCaps/>
        </w:rPr>
        <w:t>Reproductive Biomedicine</w:t>
      </w:r>
      <w:r w:rsidR="004F78C3">
        <w:t xml:space="preserve"> 27 (2017) at </w:t>
      </w:r>
      <w:r w:rsidRPr="007F02E9">
        <w:t>29.</w:t>
      </w:r>
    </w:p>
  </w:endnote>
  <w:endnote w:id="66">
    <w:p w14:paraId="60939995" w14:textId="7FB32FE4" w:rsidR="00421D69" w:rsidRPr="007F02E9" w:rsidRDefault="00421D69" w:rsidP="00604CA0">
      <w:pPr>
        <w:pStyle w:val="EndnoteText"/>
      </w:pPr>
      <w:r w:rsidRPr="007F02E9">
        <w:rPr>
          <w:rStyle w:val="EndnoteReference"/>
        </w:rPr>
        <w:endnoteRef/>
      </w:r>
      <w:r w:rsidRPr="007F02E9">
        <w:t xml:space="preserve"> NAS Human Genome Editing Report, </w:t>
      </w:r>
      <w:r w:rsidRPr="007F02E9">
        <w:rPr>
          <w:i/>
        </w:rPr>
        <w:t>supra</w:t>
      </w:r>
      <w:r w:rsidR="004F78C3">
        <w:t xml:space="preserve"> note 47</w:t>
      </w:r>
      <w:r w:rsidRPr="007F02E9">
        <w:t xml:space="preserve">, at 50; Ishii, </w:t>
      </w:r>
      <w:r w:rsidRPr="007F02E9">
        <w:rPr>
          <w:i/>
        </w:rPr>
        <w:t>supra</w:t>
      </w:r>
      <w:r w:rsidR="004F78C3">
        <w:t xml:space="preserve"> note 54</w:t>
      </w:r>
      <w:r w:rsidRPr="007F02E9">
        <w:t xml:space="preserve">, at 49-50; Ishii, </w:t>
      </w:r>
      <w:r w:rsidRPr="007F02E9">
        <w:rPr>
          <w:i/>
        </w:rPr>
        <w:t>supra</w:t>
      </w:r>
      <w:r w:rsidR="004F78C3">
        <w:t xml:space="preserve"> note 65</w:t>
      </w:r>
      <w:r w:rsidRPr="007F02E9">
        <w:t>, at 29.</w:t>
      </w:r>
    </w:p>
  </w:endnote>
  <w:endnote w:id="67">
    <w:p w14:paraId="1977C837" w14:textId="12CC72D7" w:rsidR="00421D69" w:rsidRPr="007F02E9" w:rsidRDefault="00421D69" w:rsidP="00604CA0">
      <w:pPr>
        <w:pStyle w:val="EndnoteText"/>
      </w:pPr>
      <w:r w:rsidRPr="007F02E9">
        <w:rPr>
          <w:rStyle w:val="EndnoteReference"/>
        </w:rPr>
        <w:endnoteRef/>
      </w:r>
      <w:r w:rsidRPr="007F02E9">
        <w:t xml:space="preserve"> Corrigan-</w:t>
      </w:r>
      <w:proofErr w:type="spellStart"/>
      <w:r w:rsidRPr="007F02E9">
        <w:t>Curay</w:t>
      </w:r>
      <w:proofErr w:type="spellEnd"/>
      <w:r w:rsidRPr="007F02E9">
        <w:t xml:space="preserve"> et al., </w:t>
      </w:r>
      <w:r w:rsidRPr="007F02E9">
        <w:rPr>
          <w:i/>
        </w:rPr>
        <w:t>supra</w:t>
      </w:r>
      <w:r w:rsidR="00E845D7">
        <w:t xml:space="preserve"> note 52, at 801.</w:t>
      </w:r>
    </w:p>
  </w:endnote>
  <w:endnote w:id="68">
    <w:p w14:paraId="1ABF4045" w14:textId="63F58F5D" w:rsidR="00421D69" w:rsidRPr="007F02E9" w:rsidRDefault="00421D69" w:rsidP="00E64372">
      <w:pPr>
        <w:pStyle w:val="EndnoteText"/>
      </w:pPr>
      <w:r w:rsidRPr="007F02E9">
        <w:rPr>
          <w:rStyle w:val="EndnoteReference"/>
        </w:rPr>
        <w:endnoteRef/>
      </w:r>
      <w:r w:rsidRPr="007F02E9">
        <w:t xml:space="preserve"> </w:t>
      </w:r>
      <w:r w:rsidRPr="007F02E9">
        <w:rPr>
          <w:i/>
        </w:rPr>
        <w:t>Id.</w:t>
      </w:r>
      <w:r w:rsidR="00E845D7">
        <w:t xml:space="preserve">; E. Callaway, </w:t>
      </w:r>
      <w:r w:rsidRPr="007F02E9">
        <w:t>Doubts Raised About CRISPR Gene-</w:t>
      </w:r>
      <w:r w:rsidR="00E845D7">
        <w:t>Editing Study in Human Embryos</w:t>
      </w:r>
      <w:r w:rsidR="001342FA">
        <w:t>,</w:t>
      </w:r>
      <w:r w:rsidRPr="007F02E9">
        <w:t xml:space="preserve"> </w:t>
      </w:r>
      <w:r w:rsidRPr="00E845D7">
        <w:rPr>
          <w:smallCaps/>
        </w:rPr>
        <w:t>Nature News</w:t>
      </w:r>
      <w:r w:rsidRPr="007F02E9">
        <w:t xml:space="preserve"> </w:t>
      </w:r>
      <w:r w:rsidR="00E845D7">
        <w:t xml:space="preserve">(August 31, 2017), </w:t>
      </w:r>
      <w:r w:rsidRPr="007F02E9">
        <w:t>https://www.nature.com/news/doubts-raised-about-crispr-gene-editing-study-in-human-embryos-1.22547</w:t>
      </w:r>
      <w:r w:rsidR="00E845D7">
        <w:rPr>
          <w:rStyle w:val="Hyperlink"/>
        </w:rPr>
        <w:t>.</w:t>
      </w:r>
      <w:r w:rsidRPr="007F02E9">
        <w:t xml:space="preserve"> </w:t>
      </w:r>
    </w:p>
  </w:endnote>
  <w:endnote w:id="69">
    <w:p w14:paraId="20CECCD5" w14:textId="6E5D9CAD" w:rsidR="00421D69" w:rsidRPr="007F02E9" w:rsidRDefault="00421D69" w:rsidP="00604CA0">
      <w:pPr>
        <w:pStyle w:val="EndnoteText"/>
      </w:pPr>
      <w:r w:rsidRPr="007F02E9">
        <w:rPr>
          <w:rStyle w:val="EndnoteReference"/>
        </w:rPr>
        <w:endnoteRef/>
      </w:r>
      <w:r w:rsidRPr="007F02E9">
        <w:t xml:space="preserve"> </w:t>
      </w:r>
      <w:r w:rsidRPr="007F02E9">
        <w:rPr>
          <w:i/>
        </w:rPr>
        <w:t>Id.</w:t>
      </w:r>
      <w:r w:rsidRPr="007F02E9">
        <w:t xml:space="preserve">; </w:t>
      </w:r>
      <w:r w:rsidRPr="007F02E9">
        <w:rPr>
          <w:i/>
        </w:rPr>
        <w:t>but see</w:t>
      </w:r>
      <w:r w:rsidRPr="007F02E9">
        <w:t xml:space="preserve"> </w:t>
      </w:r>
      <w:proofErr w:type="spellStart"/>
      <w:r w:rsidRPr="007F02E9">
        <w:t>Midic</w:t>
      </w:r>
      <w:proofErr w:type="spellEnd"/>
      <w:r w:rsidRPr="007F02E9">
        <w:t xml:space="preserve"> et al., </w:t>
      </w:r>
      <w:r w:rsidRPr="007F02E9">
        <w:rPr>
          <w:i/>
        </w:rPr>
        <w:t>supra</w:t>
      </w:r>
      <w:r w:rsidR="00E845D7">
        <w:t xml:space="preserve"> note 14, </w:t>
      </w:r>
      <w:r w:rsidRPr="007F02E9">
        <w:t xml:space="preserve">at 2681.  </w:t>
      </w:r>
      <w:proofErr w:type="spellStart"/>
      <w:r w:rsidRPr="007F02E9">
        <w:t>Midic</w:t>
      </w:r>
      <w:proofErr w:type="spellEnd"/>
      <w:r w:rsidRPr="007F02E9">
        <w:t xml:space="preserve"> and colleagues concluded their modifications produced no </w:t>
      </w:r>
      <w:proofErr w:type="gramStart"/>
      <w:r w:rsidRPr="007F02E9">
        <w:t>off target</w:t>
      </w:r>
      <w:proofErr w:type="gramEnd"/>
      <w:r w:rsidRPr="007F02E9">
        <w:t xml:space="preserve"> effects, but they examined only the two most common loci where they predicted off target effects would occur.</w:t>
      </w:r>
    </w:p>
  </w:endnote>
  <w:endnote w:id="70">
    <w:p w14:paraId="3894CCC3" w14:textId="543C58EB" w:rsidR="00421D69" w:rsidRPr="007F02E9" w:rsidRDefault="00421D69" w:rsidP="00604CA0">
      <w:pPr>
        <w:pStyle w:val="EndnoteText"/>
      </w:pPr>
      <w:r w:rsidRPr="007F02E9">
        <w:rPr>
          <w:rStyle w:val="EndnoteReference"/>
        </w:rPr>
        <w:endnoteRef/>
      </w:r>
      <w:r w:rsidRPr="007F02E9">
        <w:t xml:space="preserve"> Ishii, </w:t>
      </w:r>
      <w:r w:rsidRPr="007F02E9">
        <w:rPr>
          <w:i/>
        </w:rPr>
        <w:t>supra</w:t>
      </w:r>
      <w:r w:rsidR="00E845D7">
        <w:t xml:space="preserve"> note 65</w:t>
      </w:r>
      <w:r w:rsidRPr="007F02E9">
        <w:t>, at 29.</w:t>
      </w:r>
    </w:p>
  </w:endnote>
  <w:endnote w:id="71">
    <w:p w14:paraId="29F809AF" w14:textId="77777777" w:rsidR="00421D69" w:rsidRPr="007F02E9" w:rsidRDefault="00421D69" w:rsidP="00604CA0">
      <w:pPr>
        <w:pStyle w:val="EndnoteText"/>
      </w:pPr>
      <w:r w:rsidRPr="007F02E9">
        <w:rPr>
          <w:rStyle w:val="EndnoteReference"/>
        </w:rPr>
        <w:endnoteRef/>
      </w:r>
      <w:r w:rsidRPr="007F02E9">
        <w:t xml:space="preserve"> </w:t>
      </w:r>
      <w:r w:rsidRPr="007F02E9">
        <w:rPr>
          <w:i/>
        </w:rPr>
        <w:t>Id.</w:t>
      </w:r>
    </w:p>
  </w:endnote>
  <w:endnote w:id="72">
    <w:p w14:paraId="547C5AC6" w14:textId="3B5C194F" w:rsidR="00421D69" w:rsidRPr="007F02E9" w:rsidRDefault="00421D69" w:rsidP="00604CA0">
      <w:pPr>
        <w:pStyle w:val="EndnoteText"/>
      </w:pPr>
      <w:r w:rsidRPr="002D2082">
        <w:rPr>
          <w:rStyle w:val="EndnoteReference"/>
        </w:rPr>
        <w:endnoteRef/>
      </w:r>
      <w:r w:rsidRPr="002D2082">
        <w:t xml:space="preserve"> M</w:t>
      </w:r>
      <w:r w:rsidR="00E845D7">
        <w:t xml:space="preserve">ichael </w:t>
      </w:r>
      <w:proofErr w:type="spellStart"/>
      <w:r w:rsidR="00E845D7">
        <w:t>Kosicki</w:t>
      </w:r>
      <w:proofErr w:type="spellEnd"/>
      <w:r w:rsidR="00E845D7">
        <w:t xml:space="preserve"> et al., </w:t>
      </w:r>
      <w:r w:rsidRPr="002D2082">
        <w:t xml:space="preserve">Repair of Double-Strand Breaks Induced </w:t>
      </w:r>
      <w:proofErr w:type="gramStart"/>
      <w:r w:rsidRPr="002D2082">
        <w:t>By</w:t>
      </w:r>
      <w:proofErr w:type="gramEnd"/>
      <w:r w:rsidRPr="002D2082">
        <w:t xml:space="preserve"> Crispr-CAS9 Leads to Large Deleti</w:t>
      </w:r>
      <w:r w:rsidR="00E845D7">
        <w:t>ons and Complex Rearrangements, 36(8)</w:t>
      </w:r>
      <w:r w:rsidRPr="002D2082">
        <w:t xml:space="preserve"> </w:t>
      </w:r>
      <w:r w:rsidRPr="00E845D7">
        <w:rPr>
          <w:smallCaps/>
        </w:rPr>
        <w:t xml:space="preserve">Nature </w:t>
      </w:r>
      <w:proofErr w:type="spellStart"/>
      <w:r w:rsidRPr="00E845D7">
        <w:rPr>
          <w:smallCaps/>
        </w:rPr>
        <w:t>Bioetechnology</w:t>
      </w:r>
      <w:proofErr w:type="spellEnd"/>
      <w:r w:rsidRPr="002D2082">
        <w:t xml:space="preserve"> </w:t>
      </w:r>
      <w:r w:rsidR="00E845D7">
        <w:t>765</w:t>
      </w:r>
      <w:r w:rsidRPr="007F02E9">
        <w:t xml:space="preserve"> </w:t>
      </w:r>
      <w:r w:rsidRPr="002D2082">
        <w:t xml:space="preserve">(2018); </w:t>
      </w:r>
      <w:r w:rsidRPr="002D2082">
        <w:rPr>
          <w:i/>
        </w:rPr>
        <w:t>see also</w:t>
      </w:r>
      <w:r w:rsidR="00E845D7">
        <w:t xml:space="preserve"> Sharon Begley, </w:t>
      </w:r>
      <w:r w:rsidRPr="002D2082">
        <w:t>Potential DNA Damage From CRISPR Has Been ‘Seriousl</w:t>
      </w:r>
      <w:r w:rsidR="00E845D7">
        <w:t>y Underestimated,’ Study Finds,</w:t>
      </w:r>
      <w:r w:rsidRPr="002D2082">
        <w:t xml:space="preserve"> </w:t>
      </w:r>
      <w:r w:rsidR="00E845D7">
        <w:rPr>
          <w:i/>
        </w:rPr>
        <w:t>STAT News</w:t>
      </w:r>
      <w:r w:rsidRPr="002D2082">
        <w:t xml:space="preserve"> </w:t>
      </w:r>
      <w:r w:rsidR="00E845D7">
        <w:t>(</w:t>
      </w:r>
      <w:r w:rsidRPr="002D2082">
        <w:t>July 16, 2018</w:t>
      </w:r>
      <w:r w:rsidR="00E845D7">
        <w:t>)</w:t>
      </w:r>
      <w:r w:rsidRPr="002D2082">
        <w:t>, https://www.statnews.com/2018/07/16/crispr-potential-dna-damage-und</w:t>
      </w:r>
      <w:r w:rsidR="00E845D7">
        <w:t>erestimated</w:t>
      </w:r>
      <w:r w:rsidRPr="002D2082">
        <w:t>.</w:t>
      </w:r>
    </w:p>
  </w:endnote>
  <w:endnote w:id="73">
    <w:p w14:paraId="44D23A60" w14:textId="25FD5F59" w:rsidR="00421D69" w:rsidRPr="00E61615" w:rsidRDefault="00421D69" w:rsidP="0025260C">
      <w:pPr>
        <w:pStyle w:val="EndnoteText"/>
      </w:pPr>
      <w:r w:rsidRPr="00E61615">
        <w:rPr>
          <w:rStyle w:val="EndnoteReference"/>
        </w:rPr>
        <w:endnoteRef/>
      </w:r>
      <w:r w:rsidRPr="00E61615">
        <w:t xml:space="preserve"> Joel Meyer et al., Mitochondria as a Target of Environmental Toxicants, 134(1) </w:t>
      </w:r>
      <w:r w:rsidRPr="00E61615">
        <w:rPr>
          <w:smallCaps/>
        </w:rPr>
        <w:t xml:space="preserve">Toxicological Sciences </w:t>
      </w:r>
      <w:proofErr w:type="gramStart"/>
      <w:r w:rsidR="00E845D7">
        <w:t xml:space="preserve">1 </w:t>
      </w:r>
      <w:r w:rsidRPr="00E61615">
        <w:t xml:space="preserve"> (</w:t>
      </w:r>
      <w:proofErr w:type="gramEnd"/>
      <w:r w:rsidRPr="00E61615">
        <w:t>2013).</w:t>
      </w:r>
    </w:p>
  </w:endnote>
  <w:endnote w:id="74">
    <w:p w14:paraId="0149E601" w14:textId="72BF8B48" w:rsidR="00421D69" w:rsidRPr="00E61615" w:rsidRDefault="00421D69" w:rsidP="0025260C">
      <w:pPr>
        <w:pStyle w:val="EndnoteText"/>
      </w:pPr>
      <w:r w:rsidRPr="00E61615">
        <w:rPr>
          <w:rStyle w:val="EndnoteReference"/>
        </w:rPr>
        <w:endnoteRef/>
      </w:r>
      <w:r w:rsidRPr="00E61615">
        <w:t xml:space="preserve"> Meyer et al., </w:t>
      </w:r>
      <w:r w:rsidRPr="00E61615">
        <w:rPr>
          <w:i/>
        </w:rPr>
        <w:t>supra</w:t>
      </w:r>
      <w:r w:rsidR="00E845D7">
        <w:t xml:space="preserve"> note 73</w:t>
      </w:r>
      <w:r w:rsidRPr="00E61615">
        <w:t xml:space="preserve">, at 8; Maria </w:t>
      </w:r>
      <w:proofErr w:type="spellStart"/>
      <w:r w:rsidRPr="00E61615">
        <w:t>Paraskevaidi</w:t>
      </w:r>
      <w:proofErr w:type="spellEnd"/>
      <w:r w:rsidRPr="00E61615">
        <w:t xml:space="preserve"> et al., Underlying Role in Mitochondrial Mutagenesis in the Pathogenesis of Disease and Current Approaches for Translational Rese</w:t>
      </w:r>
      <w:r w:rsidR="00E845D7">
        <w:t xml:space="preserve">arch, 32(3) Mutagenesis 335 </w:t>
      </w:r>
      <w:r w:rsidRPr="00E61615">
        <w:t>(2017).</w:t>
      </w:r>
    </w:p>
  </w:endnote>
  <w:endnote w:id="75">
    <w:p w14:paraId="0B0960A6" w14:textId="7FBC69A4" w:rsidR="00421D69" w:rsidRPr="00E61615" w:rsidRDefault="00421D69" w:rsidP="00E845D7">
      <w:pPr>
        <w:pStyle w:val="EndnoteText"/>
      </w:pPr>
      <w:r w:rsidRPr="00E61615">
        <w:rPr>
          <w:rStyle w:val="EndnoteReference"/>
        </w:rPr>
        <w:endnoteRef/>
      </w:r>
      <w:r w:rsidRPr="00E61615">
        <w:t xml:space="preserve"> </w:t>
      </w:r>
      <w:r w:rsidRPr="00E61615">
        <w:rPr>
          <w:i/>
        </w:rPr>
        <w:t>Id</w:t>
      </w:r>
      <w:r w:rsidRPr="00E61615">
        <w:t xml:space="preserve">.; Kelly </w:t>
      </w:r>
      <w:proofErr w:type="spellStart"/>
      <w:r w:rsidRPr="00E61615">
        <w:t>Brunst</w:t>
      </w:r>
      <w:proofErr w:type="spellEnd"/>
      <w:r w:rsidRPr="00E61615">
        <w:t xml:space="preserve"> et al., Integrating </w:t>
      </w:r>
      <w:proofErr w:type="spellStart"/>
      <w:r w:rsidRPr="00E61615">
        <w:t>Mitochondriomics</w:t>
      </w:r>
      <w:proofErr w:type="spellEnd"/>
      <w:r w:rsidRPr="00E61615">
        <w:t xml:space="preserve"> In Children’s Environmental Health, 35(9) </w:t>
      </w:r>
      <w:r w:rsidRPr="00E61615">
        <w:rPr>
          <w:smallCaps/>
        </w:rPr>
        <w:t>Journal of Applied Toxicology</w:t>
      </w:r>
      <w:r w:rsidRPr="00E61615">
        <w:t xml:space="preserve"> 976 </w:t>
      </w:r>
      <w:r w:rsidR="00E845D7">
        <w:t xml:space="preserve">(2015) </w:t>
      </w:r>
      <w:r w:rsidR="00E845D7" w:rsidRPr="00E61615">
        <w:t>at 982-983</w:t>
      </w:r>
      <w:r w:rsidR="00E845D7">
        <w:t>.</w:t>
      </w:r>
    </w:p>
  </w:endnote>
  <w:endnote w:id="76">
    <w:p w14:paraId="01CD8133" w14:textId="5C56E6CC" w:rsidR="00421D69" w:rsidRPr="00E61615" w:rsidRDefault="00421D69" w:rsidP="0025260C">
      <w:pPr>
        <w:pStyle w:val="EndnoteText"/>
      </w:pPr>
      <w:r w:rsidRPr="00E61615">
        <w:rPr>
          <w:rStyle w:val="EndnoteReference"/>
        </w:rPr>
        <w:endnoteRef/>
      </w:r>
      <w:r w:rsidRPr="00E61615">
        <w:t xml:space="preserve"> Sameer </w:t>
      </w:r>
      <w:proofErr w:type="spellStart"/>
      <w:r w:rsidRPr="00E61615">
        <w:t>Kalghati</w:t>
      </w:r>
      <w:proofErr w:type="spellEnd"/>
      <w:r w:rsidRPr="00E61615">
        <w:t xml:space="preserve"> et al., </w:t>
      </w:r>
      <w:r w:rsidRPr="001342FA">
        <w:t>Bactericidal Antibiotics Induce Mitochondria Dysfunction and Oxidative Damage in Mammalian Cells</w:t>
      </w:r>
      <w:r w:rsidRPr="00E61615">
        <w:t xml:space="preserve">, 5(192) </w:t>
      </w:r>
      <w:r w:rsidRPr="00E61615">
        <w:rPr>
          <w:smallCaps/>
        </w:rPr>
        <w:t xml:space="preserve">Science Translational Med. </w:t>
      </w:r>
      <w:r w:rsidRPr="00E61615">
        <w:t xml:space="preserve">192ra85 (2013); Norman </w:t>
      </w:r>
      <w:proofErr w:type="spellStart"/>
      <w:r w:rsidRPr="00E61615">
        <w:t>Moullan</w:t>
      </w:r>
      <w:proofErr w:type="spellEnd"/>
      <w:r w:rsidRPr="00E61615">
        <w:t xml:space="preserve"> et al., </w:t>
      </w:r>
      <w:r w:rsidRPr="00D721AC">
        <w:rPr>
          <w:iCs/>
        </w:rPr>
        <w:t>Tetracyclines Disturb Mitochondrial Function Across Eukaryotic Models: A Call for Action in Biomedical Research</w:t>
      </w:r>
      <w:r w:rsidRPr="00E61615">
        <w:rPr>
          <w:smallCaps/>
        </w:rPr>
        <w:t xml:space="preserve">, 10 Cell Reps. 1681 </w:t>
      </w:r>
      <w:r w:rsidRPr="00E61615">
        <w:t>(2015).</w:t>
      </w:r>
    </w:p>
  </w:endnote>
  <w:endnote w:id="77">
    <w:p w14:paraId="43E225AE" w14:textId="2FACB370" w:rsidR="00421D69" w:rsidRPr="00E61615" w:rsidRDefault="00421D69" w:rsidP="0025260C">
      <w:pPr>
        <w:pStyle w:val="EndnoteText"/>
      </w:pPr>
      <w:r w:rsidRPr="00E61615">
        <w:rPr>
          <w:rStyle w:val="EndnoteReference"/>
        </w:rPr>
        <w:endnoteRef/>
      </w:r>
      <w:r w:rsidRPr="00E61615">
        <w:t xml:space="preserve"> Meyer et al., </w:t>
      </w:r>
      <w:r w:rsidRPr="00E61615">
        <w:rPr>
          <w:i/>
        </w:rPr>
        <w:t>supra</w:t>
      </w:r>
      <w:r w:rsidR="001342FA">
        <w:t xml:space="preserve"> note 7</w:t>
      </w:r>
      <w:r w:rsidR="00CF37AF">
        <w:t>3</w:t>
      </w:r>
      <w:r w:rsidRPr="00E61615">
        <w:t xml:space="preserve"> at 3-4; </w:t>
      </w:r>
      <w:proofErr w:type="spellStart"/>
      <w:r w:rsidRPr="00E61615">
        <w:t>Paraskevaidi</w:t>
      </w:r>
      <w:proofErr w:type="spellEnd"/>
      <w:r w:rsidRPr="00E61615">
        <w:t xml:space="preserve"> et al., </w:t>
      </w:r>
      <w:r w:rsidRPr="00E61615">
        <w:rPr>
          <w:i/>
        </w:rPr>
        <w:t>supra</w:t>
      </w:r>
      <w:r w:rsidR="001342FA">
        <w:t xml:space="preserve"> note 7</w:t>
      </w:r>
      <w:r w:rsidR="00CF37AF">
        <w:t>3</w:t>
      </w:r>
      <w:r w:rsidRPr="00E61615">
        <w:t>.</w:t>
      </w:r>
    </w:p>
  </w:endnote>
  <w:endnote w:id="78">
    <w:p w14:paraId="55CC637C" w14:textId="2BE5E1D6" w:rsidR="00421D69" w:rsidRPr="00E61615" w:rsidRDefault="00421D69" w:rsidP="0025260C">
      <w:pPr>
        <w:pStyle w:val="EndnoteText"/>
      </w:pPr>
      <w:r w:rsidRPr="00E61615">
        <w:rPr>
          <w:rStyle w:val="EndnoteReference"/>
        </w:rPr>
        <w:endnoteRef/>
      </w:r>
      <w:r w:rsidRPr="00E61615">
        <w:t xml:space="preserve"> Meyer et al., </w:t>
      </w:r>
      <w:r w:rsidRPr="00E61615">
        <w:rPr>
          <w:i/>
        </w:rPr>
        <w:t>supra</w:t>
      </w:r>
      <w:r w:rsidR="001342FA">
        <w:t xml:space="preserve"> note 7</w:t>
      </w:r>
      <w:r w:rsidR="00CF37AF">
        <w:t>3</w:t>
      </w:r>
      <w:r w:rsidRPr="00E61615">
        <w:t>, at 3-4.</w:t>
      </w:r>
    </w:p>
  </w:endnote>
  <w:endnote w:id="79">
    <w:p w14:paraId="1D1167FD" w14:textId="48B40D0D" w:rsidR="00421D69" w:rsidRPr="00E61615" w:rsidRDefault="00421D69" w:rsidP="0025260C">
      <w:pPr>
        <w:pStyle w:val="EndnoteText"/>
      </w:pPr>
      <w:r w:rsidRPr="00E61615">
        <w:rPr>
          <w:rStyle w:val="EndnoteReference"/>
        </w:rPr>
        <w:endnoteRef/>
      </w:r>
      <w:r w:rsidRPr="00E61615">
        <w:t xml:space="preserve"> </w:t>
      </w:r>
      <w:proofErr w:type="spellStart"/>
      <w:r w:rsidRPr="00E61615">
        <w:t>Brunst</w:t>
      </w:r>
      <w:proofErr w:type="spellEnd"/>
      <w:r w:rsidRPr="00E61615">
        <w:t xml:space="preserve"> et al., </w:t>
      </w:r>
      <w:r w:rsidRPr="00E61615">
        <w:rPr>
          <w:i/>
        </w:rPr>
        <w:t>supra</w:t>
      </w:r>
      <w:r w:rsidR="001342FA">
        <w:t xml:space="preserve"> note 75</w:t>
      </w:r>
      <w:r w:rsidRPr="00E61615">
        <w:t>, at 983.</w:t>
      </w:r>
    </w:p>
  </w:endnote>
  <w:endnote w:id="80">
    <w:p w14:paraId="65330720" w14:textId="2963FF4A" w:rsidR="00421D69" w:rsidRPr="007F02E9" w:rsidRDefault="00421D69" w:rsidP="007B43DB">
      <w:pPr>
        <w:pStyle w:val="EndnoteText"/>
      </w:pPr>
      <w:r w:rsidRPr="007F02E9">
        <w:rPr>
          <w:rStyle w:val="EndnoteReference"/>
        </w:rPr>
        <w:endnoteRef/>
      </w:r>
      <w:r w:rsidR="001342FA">
        <w:t xml:space="preserve"> </w:t>
      </w:r>
      <w:proofErr w:type="spellStart"/>
      <w:r w:rsidR="001342FA">
        <w:t>M</w:t>
      </w:r>
      <w:r w:rsidR="00CF37AF">
        <w:t>onkol</w:t>
      </w:r>
      <w:proofErr w:type="spellEnd"/>
      <w:r w:rsidR="001342FA">
        <w:t xml:space="preserve"> </w:t>
      </w:r>
      <w:proofErr w:type="spellStart"/>
      <w:r w:rsidR="001342FA">
        <w:t>Lek</w:t>
      </w:r>
      <w:proofErr w:type="spellEnd"/>
      <w:r w:rsidR="001342FA">
        <w:t xml:space="preserve"> et al., </w:t>
      </w:r>
      <w:r w:rsidRPr="007F02E9">
        <w:t xml:space="preserve">Analysis </w:t>
      </w:r>
      <w:proofErr w:type="gramStart"/>
      <w:r w:rsidRPr="007F02E9">
        <w:t>Of</w:t>
      </w:r>
      <w:proofErr w:type="gramEnd"/>
      <w:r w:rsidRPr="007F02E9">
        <w:t xml:space="preserve"> Protein-Coding Gene</w:t>
      </w:r>
      <w:r w:rsidR="001342FA">
        <w:t>tic Variation In 60,706 Humans, 536(7616)</w:t>
      </w:r>
      <w:r w:rsidRPr="007F02E9">
        <w:t xml:space="preserve"> </w:t>
      </w:r>
      <w:r w:rsidRPr="001342FA">
        <w:rPr>
          <w:smallCaps/>
        </w:rPr>
        <w:t>Nature</w:t>
      </w:r>
      <w:r w:rsidR="001342FA">
        <w:t xml:space="preserve"> 285 (2016); Editorial, </w:t>
      </w:r>
      <w:r w:rsidRPr="007F02E9">
        <w:t>Rethink The L</w:t>
      </w:r>
      <w:r w:rsidR="001342FA">
        <w:t>inks Between Genes And Disease, 538(7624)</w:t>
      </w:r>
      <w:r w:rsidRPr="007F02E9">
        <w:t xml:space="preserve"> </w:t>
      </w:r>
      <w:r w:rsidRPr="001342FA">
        <w:rPr>
          <w:smallCaps/>
        </w:rPr>
        <w:t>Nature</w:t>
      </w:r>
      <w:r w:rsidR="001342FA">
        <w:t xml:space="preserve"> 140 (2016).</w:t>
      </w:r>
    </w:p>
  </w:endnote>
  <w:endnote w:id="81">
    <w:p w14:paraId="71A554E0" w14:textId="2BFD5F0C" w:rsidR="00421D69" w:rsidRPr="007F02E9" w:rsidRDefault="00421D69" w:rsidP="007B43DB">
      <w:pPr>
        <w:pStyle w:val="EndnoteText"/>
      </w:pPr>
      <w:r w:rsidRPr="007F02E9">
        <w:rPr>
          <w:rStyle w:val="EndnoteReference"/>
        </w:rPr>
        <w:endnoteRef/>
      </w:r>
      <w:r w:rsidRPr="007F02E9">
        <w:t xml:space="preserve"> </w:t>
      </w:r>
      <w:r w:rsidRPr="007F02E9">
        <w:rPr>
          <w:i/>
        </w:rPr>
        <w:t>Id</w:t>
      </w:r>
      <w:r w:rsidR="001342FA">
        <w:t xml:space="preserve">.; Erika Hayden, </w:t>
      </w:r>
      <w:r w:rsidRPr="007F02E9">
        <w:t>Seeing D</w:t>
      </w:r>
      <w:r w:rsidR="001342FA">
        <w:t>eadly Mutations in a New Light, 538 (7624)</w:t>
      </w:r>
      <w:r w:rsidRPr="007F02E9">
        <w:t xml:space="preserve"> </w:t>
      </w:r>
      <w:r w:rsidRPr="001342FA">
        <w:rPr>
          <w:smallCaps/>
        </w:rPr>
        <w:t>Nature</w:t>
      </w:r>
      <w:r w:rsidR="001342FA">
        <w:t xml:space="preserve"> 154 (2016); D</w:t>
      </w:r>
      <w:r w:rsidR="00CF37AF">
        <w:t>avid</w:t>
      </w:r>
      <w:r w:rsidR="001342FA">
        <w:t xml:space="preserve"> Goldstein et al., </w:t>
      </w:r>
      <w:r w:rsidRPr="007F02E9">
        <w:t>Sequencing Studies in Human Genet</w:t>
      </w:r>
      <w:r w:rsidR="001342FA">
        <w:t>ics: Design and Interpretation,</w:t>
      </w:r>
      <w:r w:rsidRPr="007F02E9">
        <w:t xml:space="preserve"> </w:t>
      </w:r>
      <w:r w:rsidR="001342FA">
        <w:t xml:space="preserve">14(7) </w:t>
      </w:r>
      <w:r w:rsidRPr="001342FA">
        <w:rPr>
          <w:smallCaps/>
        </w:rPr>
        <w:t>Nature Review Genetics</w:t>
      </w:r>
      <w:r w:rsidRPr="007F02E9">
        <w:t xml:space="preserve"> </w:t>
      </w:r>
      <w:r w:rsidR="001342FA">
        <w:t>460 (2013).</w:t>
      </w:r>
    </w:p>
  </w:endnote>
  <w:endnote w:id="82">
    <w:p w14:paraId="297B2B96" w14:textId="77777777" w:rsidR="00421D69" w:rsidRPr="007F02E9" w:rsidRDefault="00421D69" w:rsidP="007B43DB">
      <w:pPr>
        <w:pStyle w:val="EndnoteText"/>
      </w:pPr>
      <w:r w:rsidRPr="007F02E9">
        <w:rPr>
          <w:rStyle w:val="EndnoteReference"/>
        </w:rPr>
        <w:endnoteRef/>
      </w:r>
      <w:r w:rsidRPr="007F02E9">
        <w:t xml:space="preserve"> </w:t>
      </w:r>
      <w:r w:rsidRPr="007F02E9">
        <w:rPr>
          <w:i/>
        </w:rPr>
        <w:t>Id.</w:t>
      </w:r>
      <w:r w:rsidRPr="007F02E9">
        <w:t xml:space="preserve"> </w:t>
      </w:r>
    </w:p>
  </w:endnote>
  <w:endnote w:id="83">
    <w:p w14:paraId="7543EC49" w14:textId="151C7236" w:rsidR="00421D69" w:rsidRPr="007F02E9" w:rsidRDefault="00421D69" w:rsidP="007B43DB">
      <w:pPr>
        <w:pStyle w:val="EndnoteText"/>
      </w:pPr>
      <w:r w:rsidRPr="007F02E9">
        <w:rPr>
          <w:rStyle w:val="EndnoteReference"/>
        </w:rPr>
        <w:endnoteRef/>
      </w:r>
      <w:r w:rsidRPr="007F02E9">
        <w:t xml:space="preserve"> L</w:t>
      </w:r>
      <w:r w:rsidR="001342FA">
        <w:t xml:space="preserve">iz </w:t>
      </w:r>
      <w:proofErr w:type="spellStart"/>
      <w:r w:rsidR="001342FA">
        <w:t>Lostrumbo</w:t>
      </w:r>
      <w:proofErr w:type="spellEnd"/>
      <w:r w:rsidR="001342FA">
        <w:t xml:space="preserve"> et al., </w:t>
      </w:r>
      <w:r w:rsidRPr="007F02E9">
        <w:t>Prophylactic Mastectomy for the Prevention of Breast C</w:t>
      </w:r>
      <w:r w:rsidR="001342FA">
        <w:t>ancer,</w:t>
      </w:r>
      <w:r w:rsidRPr="007F02E9">
        <w:t xml:space="preserve"> </w:t>
      </w:r>
      <w:r w:rsidR="001342FA">
        <w:t xml:space="preserve">11 </w:t>
      </w:r>
      <w:r w:rsidRPr="001342FA">
        <w:rPr>
          <w:smallCaps/>
        </w:rPr>
        <w:t>Cochrane Database of Systematic Reviews</w:t>
      </w:r>
      <w:r w:rsidRPr="007F02E9">
        <w:rPr>
          <w:smallCaps/>
        </w:rPr>
        <w:t xml:space="preserve"> </w:t>
      </w:r>
      <w:r>
        <w:t>Art. No.</w:t>
      </w:r>
      <w:r w:rsidRPr="009B2A5C">
        <w:t xml:space="preserve"> CD002748</w:t>
      </w:r>
      <w:r w:rsidRPr="007F02E9">
        <w:t xml:space="preserve"> (2010)</w:t>
      </w:r>
      <w:r w:rsidR="001342FA">
        <w:t xml:space="preserve"> </w:t>
      </w:r>
      <w:r w:rsidRPr="007F02E9">
        <w:t>at 3.</w:t>
      </w:r>
    </w:p>
  </w:endnote>
  <w:endnote w:id="84">
    <w:p w14:paraId="49CCA1B5" w14:textId="15F980F3" w:rsidR="00421D69" w:rsidRPr="007F02E9" w:rsidRDefault="00421D69" w:rsidP="007B43DB">
      <w:pPr>
        <w:pStyle w:val="EndnoteText"/>
      </w:pPr>
      <w:r w:rsidRPr="007F02E9">
        <w:rPr>
          <w:rStyle w:val="EndnoteReference"/>
        </w:rPr>
        <w:endnoteRef/>
      </w:r>
      <w:r w:rsidRPr="007F02E9">
        <w:t xml:space="preserve"> S</w:t>
      </w:r>
      <w:r w:rsidR="001342FA">
        <w:t xml:space="preserve">amuel Goldman, </w:t>
      </w:r>
      <w:r w:rsidRPr="007F02E9">
        <w:t>Environmental Toxins and Parkinson’s Disease,</w:t>
      </w:r>
      <w:r w:rsidR="001342FA">
        <w:t xml:space="preserve"> 54</w:t>
      </w:r>
      <w:r w:rsidRPr="007F02E9">
        <w:t xml:space="preserve"> </w:t>
      </w:r>
      <w:r w:rsidRPr="001342FA">
        <w:rPr>
          <w:smallCaps/>
        </w:rPr>
        <w:t>Annual Review of Pharmacology and Toxicology</w:t>
      </w:r>
      <w:r w:rsidR="001342FA">
        <w:t xml:space="preserve"> 141 (2014) </w:t>
      </w:r>
      <w:r w:rsidRPr="007F02E9">
        <w:t>at 142.</w:t>
      </w:r>
    </w:p>
  </w:endnote>
  <w:endnote w:id="85">
    <w:p w14:paraId="4A6479E4" w14:textId="77777777" w:rsidR="00421D69" w:rsidRPr="007F02E9" w:rsidRDefault="00421D69" w:rsidP="007B43DB">
      <w:pPr>
        <w:pStyle w:val="EndnoteText"/>
      </w:pPr>
      <w:r w:rsidRPr="007F02E9">
        <w:rPr>
          <w:rStyle w:val="EndnoteReference"/>
        </w:rPr>
        <w:endnoteRef/>
      </w:r>
      <w:r w:rsidRPr="007F02E9">
        <w:t xml:space="preserve"> </w:t>
      </w:r>
      <w:r w:rsidRPr="007F02E9">
        <w:rPr>
          <w:i/>
        </w:rPr>
        <w:t>Id.</w:t>
      </w:r>
    </w:p>
  </w:endnote>
  <w:endnote w:id="86">
    <w:p w14:paraId="0BA4F134" w14:textId="77777777" w:rsidR="00421D69" w:rsidRPr="007F02E9" w:rsidRDefault="00421D69" w:rsidP="007B43DB">
      <w:pPr>
        <w:pStyle w:val="EndnoteText"/>
      </w:pPr>
      <w:r w:rsidRPr="007F02E9">
        <w:rPr>
          <w:rStyle w:val="EndnoteReference"/>
        </w:rPr>
        <w:endnoteRef/>
      </w:r>
      <w:r w:rsidRPr="007F02E9">
        <w:t xml:space="preserve"> </w:t>
      </w:r>
      <w:r w:rsidRPr="007F02E9">
        <w:rPr>
          <w:i/>
        </w:rPr>
        <w:t>Id.</w:t>
      </w:r>
    </w:p>
  </w:endnote>
  <w:endnote w:id="87">
    <w:p w14:paraId="721D0F19" w14:textId="76E25B26" w:rsidR="00421D69" w:rsidRPr="007F02E9" w:rsidRDefault="00421D69" w:rsidP="002A0CF2">
      <w:pPr>
        <w:pStyle w:val="EndnoteText"/>
      </w:pPr>
      <w:r w:rsidRPr="007F02E9">
        <w:rPr>
          <w:rStyle w:val="EndnoteReference"/>
        </w:rPr>
        <w:endnoteRef/>
      </w:r>
      <w:r w:rsidRPr="007F02E9">
        <w:t xml:space="preserve"> </w:t>
      </w:r>
      <w:r w:rsidR="001342FA">
        <w:t xml:space="preserve">Cooper et al., </w:t>
      </w:r>
      <w:r w:rsidR="00D721AC" w:rsidRPr="00D721AC">
        <w:rPr>
          <w:i/>
          <w:iCs/>
        </w:rPr>
        <w:t>supra</w:t>
      </w:r>
      <w:r w:rsidR="00D721AC">
        <w:t xml:space="preserve"> note 23.</w:t>
      </w:r>
    </w:p>
  </w:endnote>
  <w:endnote w:id="88">
    <w:p w14:paraId="0FCFEF0A" w14:textId="3575859F" w:rsidR="00421D69" w:rsidRPr="007F02E9" w:rsidRDefault="00421D69" w:rsidP="002A0CF2">
      <w:pPr>
        <w:pStyle w:val="EndnoteText"/>
      </w:pPr>
      <w:r w:rsidRPr="007F02E9">
        <w:rPr>
          <w:rStyle w:val="EndnoteReference"/>
        </w:rPr>
        <w:endnoteRef/>
      </w:r>
      <w:r w:rsidRPr="007F02E9">
        <w:t xml:space="preserve"> </w:t>
      </w:r>
      <w:r w:rsidR="00D721AC">
        <w:t xml:space="preserve">Sabina </w:t>
      </w:r>
      <w:proofErr w:type="spellStart"/>
      <w:r w:rsidR="001342FA">
        <w:t>Gallati</w:t>
      </w:r>
      <w:proofErr w:type="spellEnd"/>
      <w:r w:rsidR="001342FA">
        <w:t xml:space="preserve">, </w:t>
      </w:r>
      <w:r w:rsidR="001342FA" w:rsidRPr="007F02E9">
        <w:t>Disease Modifying Genes and Monogenic Disorders:</w:t>
      </w:r>
      <w:r w:rsidR="001342FA">
        <w:t xml:space="preserve"> Experience in Cystic Fibrosis, 7(2014)</w:t>
      </w:r>
      <w:r w:rsidR="001342FA" w:rsidRPr="007F02E9">
        <w:t xml:space="preserve"> </w:t>
      </w:r>
      <w:r w:rsidR="001342FA" w:rsidRPr="001342FA">
        <w:rPr>
          <w:smallCaps/>
        </w:rPr>
        <w:t>Application of Clinical Genetics</w:t>
      </w:r>
      <w:r w:rsidR="001342FA">
        <w:t xml:space="preserve"> 133 (2014) </w:t>
      </w:r>
      <w:r w:rsidRPr="007F02E9">
        <w:t xml:space="preserve">at 134; Cooper et al., </w:t>
      </w:r>
      <w:r w:rsidRPr="007F02E9">
        <w:rPr>
          <w:i/>
        </w:rPr>
        <w:t>supra</w:t>
      </w:r>
      <w:r w:rsidR="001342FA">
        <w:t xml:space="preserve"> note </w:t>
      </w:r>
      <w:r w:rsidR="00D721AC">
        <w:t>23</w:t>
      </w:r>
      <w:r w:rsidRPr="007F02E9">
        <w:t>, at 1101.</w:t>
      </w:r>
    </w:p>
  </w:endnote>
  <w:endnote w:id="89">
    <w:p w14:paraId="37120E5A" w14:textId="208821B3" w:rsidR="00421D69" w:rsidRPr="007F02E9" w:rsidRDefault="00421D69" w:rsidP="002A0CF2">
      <w:pPr>
        <w:pStyle w:val="EndnoteText"/>
      </w:pPr>
      <w:r w:rsidRPr="007F02E9">
        <w:rPr>
          <w:rStyle w:val="EndnoteReference"/>
        </w:rPr>
        <w:endnoteRef/>
      </w:r>
      <w:r w:rsidRPr="007F02E9">
        <w:t xml:space="preserve"> Cooper et al., </w:t>
      </w:r>
      <w:r w:rsidRPr="007F02E9">
        <w:rPr>
          <w:i/>
        </w:rPr>
        <w:t>supra</w:t>
      </w:r>
      <w:r w:rsidR="001342FA">
        <w:t xml:space="preserve"> note </w:t>
      </w:r>
      <w:r w:rsidR="00D721AC">
        <w:t>23</w:t>
      </w:r>
      <w:r w:rsidRPr="007F02E9">
        <w:t>, at 1102.</w:t>
      </w:r>
    </w:p>
  </w:endnote>
  <w:endnote w:id="90">
    <w:p w14:paraId="4ABD639E" w14:textId="77777777" w:rsidR="00421D69" w:rsidRPr="007F02E9" w:rsidRDefault="00421D69" w:rsidP="002A0CF2">
      <w:pPr>
        <w:pStyle w:val="EndnoteText"/>
      </w:pPr>
      <w:r w:rsidRPr="007F02E9">
        <w:rPr>
          <w:rStyle w:val="EndnoteReference"/>
        </w:rPr>
        <w:endnoteRef/>
      </w:r>
      <w:r w:rsidRPr="007F02E9">
        <w:t xml:space="preserve"> </w:t>
      </w:r>
      <w:r w:rsidRPr="00BE2E47">
        <w:rPr>
          <w:i/>
        </w:rPr>
        <w:t>Id.</w:t>
      </w:r>
      <w:r w:rsidRPr="00BE2E47">
        <w:t xml:space="preserve"> at 1078-1078, 1102.</w:t>
      </w:r>
    </w:p>
  </w:endnote>
  <w:endnote w:id="91">
    <w:p w14:paraId="2958C859" w14:textId="0028DB6C" w:rsidR="00421D69" w:rsidRPr="007F02E9" w:rsidRDefault="00421D69" w:rsidP="00177BF1">
      <w:pPr>
        <w:pStyle w:val="EndnoteText"/>
      </w:pPr>
      <w:r w:rsidRPr="007F02E9">
        <w:rPr>
          <w:rStyle w:val="EndnoteReference"/>
        </w:rPr>
        <w:endnoteRef/>
      </w:r>
      <w:r w:rsidRPr="007F02E9">
        <w:t xml:space="preserve"> </w:t>
      </w:r>
      <w:r w:rsidR="00BE2E47" w:rsidRPr="007F02E9">
        <w:t xml:space="preserve">Infertility, </w:t>
      </w:r>
      <w:r w:rsidR="00BE2E47" w:rsidRPr="00D721AC">
        <w:rPr>
          <w:smallCaps/>
        </w:rPr>
        <w:t>Centers for Disease Control and Prevention</w:t>
      </w:r>
      <w:r w:rsidR="00BE2E47" w:rsidRPr="007F02E9">
        <w:t xml:space="preserve">, </w:t>
      </w:r>
      <w:hyperlink r:id="rId3" w:history="1">
        <w:r w:rsidR="00BE2E47" w:rsidRPr="00960262">
          <w:rPr>
            <w:rStyle w:val="Hyperlink"/>
          </w:rPr>
          <w:t>https://www.cdc.gov/reproductivehealth/Infertility</w:t>
        </w:r>
      </w:hyperlink>
      <w:r w:rsidR="00BE2E47">
        <w:t xml:space="preserve">; </w:t>
      </w:r>
      <w:r w:rsidR="00BE2E47" w:rsidRPr="007F02E9">
        <w:t xml:space="preserve">Global Prevalence of Infertility, Infecundity, and Childlessness, </w:t>
      </w:r>
      <w:r w:rsidR="00BE2E47" w:rsidRPr="00D721AC">
        <w:rPr>
          <w:smallCaps/>
        </w:rPr>
        <w:t>World Health Organization</w:t>
      </w:r>
      <w:r w:rsidR="00BE2E47" w:rsidRPr="007F02E9">
        <w:t>, http://www.who.int/reproductivehealth/topics/infertility/burden/en</w:t>
      </w:r>
      <w:r w:rsidR="00BE2E47">
        <w:t>.</w:t>
      </w:r>
    </w:p>
  </w:endnote>
  <w:endnote w:id="92">
    <w:p w14:paraId="17F58D0B" w14:textId="2A4E273C" w:rsidR="00421D69" w:rsidRPr="007F02E9" w:rsidRDefault="00421D69" w:rsidP="00575194">
      <w:pPr>
        <w:pStyle w:val="EndnoteText"/>
      </w:pPr>
      <w:r w:rsidRPr="007F02E9">
        <w:rPr>
          <w:rStyle w:val="EndnoteReference"/>
        </w:rPr>
        <w:endnoteRef/>
      </w:r>
      <w:r w:rsidRPr="007F02E9">
        <w:t xml:space="preserve"> </w:t>
      </w:r>
      <w:r w:rsidRPr="00883345">
        <w:t>Theo Colburn et al.,</w:t>
      </w:r>
      <w:r w:rsidRPr="007F02E9">
        <w:t xml:space="preserve"> </w:t>
      </w:r>
      <w:r w:rsidRPr="00883345">
        <w:rPr>
          <w:iCs/>
          <w:smallCaps/>
        </w:rPr>
        <w:t>Our Stolen Future</w:t>
      </w:r>
      <w:r w:rsidRPr="007F02E9">
        <w:t xml:space="preserve"> (New York: Penguin Books, 1996); </w:t>
      </w:r>
      <w:r w:rsidR="00BE2E47" w:rsidRPr="007F02E9">
        <w:t xml:space="preserve">A. Bergman et al. (eds.), </w:t>
      </w:r>
      <w:r w:rsidR="00BE2E47" w:rsidRPr="00883345">
        <w:rPr>
          <w:iCs/>
        </w:rPr>
        <w:t>State of the Science on Endocrine Disrupting Chemicals</w:t>
      </w:r>
      <w:r w:rsidR="00BE2E47" w:rsidRPr="007F02E9">
        <w:t xml:space="preserve">, </w:t>
      </w:r>
      <w:r w:rsidR="00BE2E47" w:rsidRPr="00883345">
        <w:rPr>
          <w:smallCaps/>
        </w:rPr>
        <w:t>World Health Organization and United Nations Environment Program</w:t>
      </w:r>
      <w:r w:rsidR="00BE2E47" w:rsidRPr="007F02E9">
        <w:t xml:space="preserve"> (2012</w:t>
      </w:r>
      <w:r w:rsidR="00BE2E47">
        <w:t xml:space="preserve">); </w:t>
      </w:r>
      <w:r w:rsidRPr="007F02E9">
        <w:t>C</w:t>
      </w:r>
      <w:r w:rsidR="00883345">
        <w:t>arlos</w:t>
      </w:r>
      <w:r w:rsidRPr="007F02E9">
        <w:t xml:space="preserve"> </w:t>
      </w:r>
      <w:proofErr w:type="spellStart"/>
      <w:r w:rsidRPr="007F02E9">
        <w:t>Guerro-Bosagna</w:t>
      </w:r>
      <w:proofErr w:type="spellEnd"/>
      <w:r w:rsidRPr="007F02E9">
        <w:t xml:space="preserve"> and M</w:t>
      </w:r>
      <w:r w:rsidR="00883345">
        <w:t>ichael</w:t>
      </w:r>
      <w:r w:rsidRPr="007F02E9">
        <w:t xml:space="preserve"> Skinner, Environmentally Induced Epigenetic Transgenerational Inheritance of Male Infertility, </w:t>
      </w:r>
      <w:r w:rsidRPr="00883345">
        <w:rPr>
          <w:iCs/>
          <w:smallCaps/>
        </w:rPr>
        <w:t>Current Opinion in Genetics and Development</w:t>
      </w:r>
      <w:r w:rsidRPr="007F02E9">
        <w:rPr>
          <w:smallCaps/>
        </w:rPr>
        <w:t xml:space="preserve"> 26 </w:t>
      </w:r>
      <w:r w:rsidRPr="007F02E9">
        <w:t>(2014)</w:t>
      </w:r>
      <w:r w:rsidR="00883345">
        <w:t xml:space="preserve">; </w:t>
      </w:r>
      <w:proofErr w:type="spellStart"/>
      <w:r w:rsidR="00883345" w:rsidRPr="007F02E9">
        <w:t>E</w:t>
      </w:r>
      <w:r w:rsidR="00883345">
        <w:t>vanthia</w:t>
      </w:r>
      <w:proofErr w:type="spellEnd"/>
      <w:r w:rsidR="00883345" w:rsidRPr="007F02E9">
        <w:t xml:space="preserve"> </w:t>
      </w:r>
      <w:proofErr w:type="spellStart"/>
      <w:r w:rsidR="00883345" w:rsidRPr="007F02E9">
        <w:t>Diamanti-Kandarakis</w:t>
      </w:r>
      <w:proofErr w:type="spellEnd"/>
      <w:r w:rsidR="00883345" w:rsidRPr="007F02E9">
        <w:t xml:space="preserve"> et al., Endocrine Disrupting Chemicals: An Endocrine Society Scientific Statement, </w:t>
      </w:r>
      <w:r w:rsidR="00883345">
        <w:t xml:space="preserve">30(4) </w:t>
      </w:r>
      <w:r w:rsidR="00883345" w:rsidRPr="00883345">
        <w:rPr>
          <w:iCs/>
          <w:smallCaps/>
        </w:rPr>
        <w:t>Endocrine Reviews</w:t>
      </w:r>
      <w:r w:rsidR="00883345" w:rsidRPr="007F02E9">
        <w:rPr>
          <w:smallCaps/>
        </w:rPr>
        <w:t xml:space="preserve"> </w:t>
      </w:r>
      <w:r w:rsidR="00883345">
        <w:t>293</w:t>
      </w:r>
      <w:r w:rsidR="00883345" w:rsidRPr="007F02E9">
        <w:t xml:space="preserve"> (2009)</w:t>
      </w:r>
      <w:r w:rsidR="00883345">
        <w:t>;</w:t>
      </w:r>
      <w:r w:rsidRPr="007F02E9">
        <w:t xml:space="preserve"> Fertility and Infertility and the Environment, National Center for Environmental Health, </w:t>
      </w:r>
      <w:r w:rsidRPr="00883345">
        <w:rPr>
          <w:smallCaps/>
        </w:rPr>
        <w:t>centers for disease control and prevention</w:t>
      </w:r>
      <w:r w:rsidRPr="007F02E9">
        <w:t>, https://ephtracking.cdc.gov/showRbFertilityInfertilityEnv.</w:t>
      </w:r>
    </w:p>
  </w:endnote>
  <w:endnote w:id="93">
    <w:p w14:paraId="42308A61" w14:textId="2B4D2EFB" w:rsidR="00421D69" w:rsidRPr="007F02E9" w:rsidRDefault="00421D69" w:rsidP="00575194">
      <w:pPr>
        <w:pStyle w:val="EndnoteText"/>
      </w:pPr>
      <w:r w:rsidRPr="007F02E9">
        <w:rPr>
          <w:rStyle w:val="EndnoteReference"/>
        </w:rPr>
        <w:endnoteRef/>
      </w:r>
      <w:r w:rsidRPr="007F02E9">
        <w:t xml:space="preserve"> </w:t>
      </w:r>
      <w:proofErr w:type="spellStart"/>
      <w:r w:rsidRPr="007F02E9">
        <w:t>Diamanti-Kandarakis</w:t>
      </w:r>
      <w:proofErr w:type="spellEnd"/>
      <w:r w:rsidRPr="007F02E9">
        <w:t xml:space="preserve"> et al., </w:t>
      </w:r>
      <w:r w:rsidRPr="007F02E9">
        <w:rPr>
          <w:i/>
        </w:rPr>
        <w:t>supra</w:t>
      </w:r>
      <w:r w:rsidRPr="007F02E9">
        <w:t xml:space="preserve"> note </w:t>
      </w:r>
      <w:r w:rsidR="00C276A8">
        <w:t>92</w:t>
      </w:r>
      <w:r w:rsidRPr="007F02E9">
        <w:t xml:space="preserve">; </w:t>
      </w:r>
      <w:r w:rsidR="00C276A8">
        <w:t xml:space="preserve">Niels </w:t>
      </w:r>
      <w:proofErr w:type="spellStart"/>
      <w:r w:rsidR="00C276A8" w:rsidRPr="007F02E9">
        <w:t>Skakkebaek</w:t>
      </w:r>
      <w:proofErr w:type="spellEnd"/>
      <w:r w:rsidR="00C276A8" w:rsidRPr="007F02E9">
        <w:t xml:space="preserve"> et al., Male Reproductive Disorders and Fertility Trends: Influences of Environment and Genetic Susceptibility,</w:t>
      </w:r>
      <w:r w:rsidR="00C276A8">
        <w:t xml:space="preserve"> 96(1) </w:t>
      </w:r>
      <w:r w:rsidR="00C276A8" w:rsidRPr="00C276A8">
        <w:rPr>
          <w:iCs/>
          <w:smallCaps/>
        </w:rPr>
        <w:t>Physiological Reviews</w:t>
      </w:r>
      <w:r w:rsidR="00C276A8" w:rsidRPr="007F02E9">
        <w:t xml:space="preserve"> </w:t>
      </w:r>
      <w:r w:rsidR="00C276A8">
        <w:t>55-97</w:t>
      </w:r>
      <w:r w:rsidR="00C276A8" w:rsidRPr="007F02E9">
        <w:t xml:space="preserve"> (2016)</w:t>
      </w:r>
      <w:r w:rsidR="00C276A8">
        <w:t xml:space="preserve">; </w:t>
      </w:r>
      <w:r w:rsidR="00C276A8" w:rsidRPr="007F02E9">
        <w:t>R</w:t>
      </w:r>
      <w:r w:rsidR="00C276A8">
        <w:t>oger</w:t>
      </w:r>
      <w:r w:rsidR="00C276A8" w:rsidRPr="007F02E9">
        <w:t xml:space="preserve"> Hart, Physiological Aspects of Female Infertility: Role of the Environment, Modern Lifestyle, and Genetics,</w:t>
      </w:r>
      <w:r w:rsidR="00C276A8">
        <w:t xml:space="preserve"> 96(3)</w:t>
      </w:r>
      <w:r w:rsidR="00C276A8" w:rsidRPr="007F02E9">
        <w:t xml:space="preserve"> </w:t>
      </w:r>
      <w:r w:rsidR="00C276A8" w:rsidRPr="004808DC">
        <w:rPr>
          <w:iCs/>
          <w:smallCaps/>
        </w:rPr>
        <w:t>Physiological Reviews</w:t>
      </w:r>
      <w:r w:rsidR="00C276A8" w:rsidRPr="007F02E9">
        <w:t xml:space="preserve"> </w:t>
      </w:r>
      <w:r w:rsidR="004808DC">
        <w:t>877-909</w:t>
      </w:r>
      <w:r w:rsidR="00C276A8" w:rsidRPr="007F02E9">
        <w:t xml:space="preserve"> (2016)</w:t>
      </w:r>
      <w:r w:rsidR="004808DC">
        <w:t>.</w:t>
      </w:r>
    </w:p>
  </w:endnote>
  <w:endnote w:id="94">
    <w:p w14:paraId="29A98E9F" w14:textId="0F780E00" w:rsidR="00421D69" w:rsidRPr="007F02E9" w:rsidRDefault="00421D69" w:rsidP="00575194">
      <w:pPr>
        <w:pStyle w:val="EndnoteText"/>
      </w:pPr>
      <w:r w:rsidRPr="007F02E9">
        <w:rPr>
          <w:rStyle w:val="EndnoteReference"/>
        </w:rPr>
        <w:endnoteRef/>
      </w:r>
      <w:r w:rsidRPr="007F02E9">
        <w:t xml:space="preserve"> </w:t>
      </w:r>
      <w:proofErr w:type="spellStart"/>
      <w:r w:rsidRPr="007F02E9">
        <w:t>Skakkebaek</w:t>
      </w:r>
      <w:proofErr w:type="spellEnd"/>
      <w:r w:rsidRPr="007F02E9">
        <w:t xml:space="preserve"> et al., </w:t>
      </w:r>
      <w:r w:rsidRPr="007F02E9">
        <w:rPr>
          <w:i/>
        </w:rPr>
        <w:t>supra</w:t>
      </w:r>
      <w:r w:rsidRPr="007F02E9">
        <w:t xml:space="preserve"> note </w:t>
      </w:r>
      <w:r w:rsidR="004808DC">
        <w:t xml:space="preserve">93; </w:t>
      </w:r>
      <w:r w:rsidR="004808DC" w:rsidRPr="007F02E9">
        <w:t>R</w:t>
      </w:r>
      <w:r w:rsidR="004808DC">
        <w:t xml:space="preserve">akesh </w:t>
      </w:r>
      <w:r w:rsidR="004808DC" w:rsidRPr="007F02E9">
        <w:t>Sharma et al., Lifestyle Factors and Reproductive Health: Taking Control of Your Fertility,</w:t>
      </w:r>
      <w:r w:rsidR="004904B9">
        <w:t xml:space="preserve"> 11(66)</w:t>
      </w:r>
      <w:r w:rsidR="004808DC" w:rsidRPr="007F02E9">
        <w:t xml:space="preserve"> </w:t>
      </w:r>
      <w:r w:rsidR="004808DC" w:rsidRPr="004904B9">
        <w:rPr>
          <w:iCs/>
          <w:smallCaps/>
        </w:rPr>
        <w:t>Reproductive Biology and Endocrinology</w:t>
      </w:r>
      <w:r w:rsidR="004808DC" w:rsidRPr="007F02E9">
        <w:rPr>
          <w:smallCaps/>
        </w:rPr>
        <w:t xml:space="preserve"> </w:t>
      </w:r>
      <w:r w:rsidR="004808DC" w:rsidRPr="007F02E9">
        <w:t>1</w:t>
      </w:r>
      <w:r w:rsidR="004904B9">
        <w:t>-15</w:t>
      </w:r>
      <w:r w:rsidR="004808DC" w:rsidRPr="007F02E9">
        <w:t xml:space="preserve"> (2013)</w:t>
      </w:r>
      <w:r w:rsidR="004904B9">
        <w:t>.</w:t>
      </w:r>
    </w:p>
  </w:endnote>
  <w:endnote w:id="95">
    <w:p w14:paraId="30DFA3DF" w14:textId="5BBCF8B9" w:rsidR="00421D69" w:rsidRDefault="00421D69" w:rsidP="00575194">
      <w:pPr>
        <w:pStyle w:val="EndnoteText"/>
      </w:pPr>
      <w:r w:rsidRPr="007F02E9">
        <w:rPr>
          <w:rStyle w:val="EndnoteReference"/>
        </w:rPr>
        <w:endnoteRef/>
      </w:r>
      <w:r w:rsidRPr="007F02E9">
        <w:t xml:space="preserve"> State of the Science on EDCs, </w:t>
      </w:r>
      <w:r w:rsidRPr="007F02E9">
        <w:rPr>
          <w:i/>
        </w:rPr>
        <w:t>supra</w:t>
      </w:r>
      <w:r w:rsidRPr="007F02E9">
        <w:t xml:space="preserve"> note </w:t>
      </w:r>
      <w:r w:rsidR="004904B9">
        <w:t>92</w:t>
      </w:r>
      <w:r w:rsidRPr="007F02E9">
        <w:t xml:space="preserve">, at 65; </w:t>
      </w:r>
      <w:proofErr w:type="spellStart"/>
      <w:r w:rsidRPr="007F02E9">
        <w:t>Skakkebaek</w:t>
      </w:r>
      <w:proofErr w:type="spellEnd"/>
      <w:r w:rsidRPr="007F02E9">
        <w:t xml:space="preserve"> et al., </w:t>
      </w:r>
      <w:r w:rsidRPr="007F02E9">
        <w:rPr>
          <w:i/>
        </w:rPr>
        <w:t>supra</w:t>
      </w:r>
      <w:r w:rsidRPr="007F02E9">
        <w:t xml:space="preserve"> note </w:t>
      </w:r>
      <w:r w:rsidR="004904B9">
        <w:t>93.</w:t>
      </w:r>
    </w:p>
    <w:p w14:paraId="57A042BB" w14:textId="3B1914DE" w:rsidR="00421D69" w:rsidRDefault="00421D69" w:rsidP="00575194">
      <w:pPr>
        <w:pStyle w:val="EndnoteText"/>
      </w:pPr>
    </w:p>
    <w:p w14:paraId="4C42681B" w14:textId="1B136895" w:rsidR="00421D69" w:rsidRDefault="00421D69" w:rsidP="00575194">
      <w:pPr>
        <w:pStyle w:val="EndnoteText"/>
      </w:pPr>
    </w:p>
    <w:p w14:paraId="529FEBED" w14:textId="152385E1" w:rsidR="00421D69" w:rsidRDefault="00421D69" w:rsidP="00575194">
      <w:pPr>
        <w:pStyle w:val="EndnoteText"/>
      </w:pPr>
    </w:p>
    <w:p w14:paraId="0ED3CCB4" w14:textId="2023813C" w:rsidR="00421D69" w:rsidRDefault="00421D69" w:rsidP="00575194">
      <w:pPr>
        <w:pStyle w:val="EndnoteText"/>
      </w:pPr>
    </w:p>
    <w:p w14:paraId="0D218BCE" w14:textId="4E4D740C" w:rsidR="00421D69" w:rsidRDefault="00421D69" w:rsidP="00575194">
      <w:pPr>
        <w:pStyle w:val="EndnoteText"/>
      </w:pPr>
    </w:p>
    <w:p w14:paraId="0C69C7CE" w14:textId="60AB3D36" w:rsidR="00421D69" w:rsidRDefault="00421D69" w:rsidP="00575194">
      <w:pPr>
        <w:pStyle w:val="EndnoteText"/>
      </w:pPr>
    </w:p>
    <w:p w14:paraId="24583249" w14:textId="77777777" w:rsidR="00421D69" w:rsidRPr="007F02E9" w:rsidRDefault="00421D69" w:rsidP="0057519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694620"/>
      <w:docPartObj>
        <w:docPartGallery w:val="Page Numbers (Bottom of Page)"/>
        <w:docPartUnique/>
      </w:docPartObj>
    </w:sdtPr>
    <w:sdtEndPr/>
    <w:sdtContent>
      <w:sdt>
        <w:sdtPr>
          <w:id w:val="1728636285"/>
          <w:docPartObj>
            <w:docPartGallery w:val="Page Numbers (Top of Page)"/>
            <w:docPartUnique/>
          </w:docPartObj>
        </w:sdtPr>
        <w:sdtEndPr/>
        <w:sdtContent>
          <w:p w14:paraId="184E961D" w14:textId="6F356384" w:rsidR="00421D69" w:rsidRDefault="00421D69">
            <w:pPr>
              <w:pStyle w:val="Footer"/>
              <w:jc w:val="center"/>
            </w:pPr>
            <w:r w:rsidRPr="00053421">
              <w:rPr>
                <w:sz w:val="20"/>
                <w:szCs w:val="20"/>
              </w:rPr>
              <w:t xml:space="preserve">Page </w:t>
            </w:r>
            <w:r w:rsidRPr="00053421">
              <w:rPr>
                <w:b/>
                <w:bCs/>
                <w:sz w:val="20"/>
                <w:szCs w:val="20"/>
              </w:rPr>
              <w:fldChar w:fldCharType="begin"/>
            </w:r>
            <w:r w:rsidRPr="00053421">
              <w:rPr>
                <w:b/>
                <w:bCs/>
                <w:sz w:val="20"/>
                <w:szCs w:val="20"/>
              </w:rPr>
              <w:instrText xml:space="preserve"> PAGE </w:instrText>
            </w:r>
            <w:r w:rsidRPr="00053421">
              <w:rPr>
                <w:b/>
                <w:bCs/>
                <w:sz w:val="20"/>
                <w:szCs w:val="20"/>
              </w:rPr>
              <w:fldChar w:fldCharType="separate"/>
            </w:r>
            <w:r w:rsidR="00345366">
              <w:rPr>
                <w:b/>
                <w:bCs/>
                <w:noProof/>
                <w:sz w:val="20"/>
                <w:szCs w:val="20"/>
              </w:rPr>
              <w:t>19</w:t>
            </w:r>
            <w:r w:rsidRPr="00053421">
              <w:rPr>
                <w:b/>
                <w:bCs/>
                <w:sz w:val="20"/>
                <w:szCs w:val="20"/>
              </w:rPr>
              <w:fldChar w:fldCharType="end"/>
            </w:r>
            <w:r w:rsidRPr="00053421">
              <w:rPr>
                <w:sz w:val="20"/>
                <w:szCs w:val="20"/>
              </w:rPr>
              <w:t xml:space="preserve"> of </w:t>
            </w:r>
            <w:r w:rsidRPr="00053421">
              <w:rPr>
                <w:b/>
                <w:bCs/>
                <w:sz w:val="20"/>
                <w:szCs w:val="20"/>
              </w:rPr>
              <w:fldChar w:fldCharType="begin"/>
            </w:r>
            <w:r w:rsidRPr="00053421">
              <w:rPr>
                <w:b/>
                <w:bCs/>
                <w:sz w:val="20"/>
                <w:szCs w:val="20"/>
              </w:rPr>
              <w:instrText xml:space="preserve"> NUMPAGES  </w:instrText>
            </w:r>
            <w:r w:rsidRPr="00053421">
              <w:rPr>
                <w:b/>
                <w:bCs/>
                <w:sz w:val="20"/>
                <w:szCs w:val="20"/>
              </w:rPr>
              <w:fldChar w:fldCharType="separate"/>
            </w:r>
            <w:r w:rsidR="00345366">
              <w:rPr>
                <w:b/>
                <w:bCs/>
                <w:noProof/>
                <w:sz w:val="20"/>
                <w:szCs w:val="20"/>
              </w:rPr>
              <w:t>20</w:t>
            </w:r>
            <w:r w:rsidRPr="00053421">
              <w:rPr>
                <w:b/>
                <w:bCs/>
                <w:sz w:val="20"/>
                <w:szCs w:val="20"/>
              </w:rPr>
              <w:fldChar w:fldCharType="end"/>
            </w:r>
          </w:p>
        </w:sdtContent>
      </w:sdt>
    </w:sdtContent>
  </w:sdt>
  <w:p w14:paraId="25AC038F" w14:textId="77777777" w:rsidR="00421D69" w:rsidRDefault="00421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62069" w14:textId="77777777" w:rsidR="00A47BEC" w:rsidRDefault="00A47BEC" w:rsidP="00A66339">
      <w:r>
        <w:separator/>
      </w:r>
    </w:p>
  </w:footnote>
  <w:footnote w:type="continuationSeparator" w:id="0">
    <w:p w14:paraId="5A6454AA" w14:textId="77777777" w:rsidR="00A47BEC" w:rsidRDefault="00A47BEC" w:rsidP="00A66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B1EB4"/>
    <w:multiLevelType w:val="hybridMultilevel"/>
    <w:tmpl w:val="2AE4F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428C1"/>
    <w:multiLevelType w:val="hybridMultilevel"/>
    <w:tmpl w:val="7EE46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D291D"/>
    <w:multiLevelType w:val="hybridMultilevel"/>
    <w:tmpl w:val="172A18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F76414"/>
    <w:multiLevelType w:val="hybridMultilevel"/>
    <w:tmpl w:val="378E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428AB"/>
    <w:multiLevelType w:val="hybridMultilevel"/>
    <w:tmpl w:val="0F940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C29C6"/>
    <w:multiLevelType w:val="hybridMultilevel"/>
    <w:tmpl w:val="95381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596800"/>
    <w:multiLevelType w:val="hybridMultilevel"/>
    <w:tmpl w:val="0C9AD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E64CC"/>
    <w:multiLevelType w:val="hybridMultilevel"/>
    <w:tmpl w:val="4A065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A7BF9"/>
    <w:multiLevelType w:val="hybridMultilevel"/>
    <w:tmpl w:val="CB0AB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3048DA"/>
    <w:multiLevelType w:val="hybridMultilevel"/>
    <w:tmpl w:val="4E129F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B35967"/>
    <w:multiLevelType w:val="hybridMultilevel"/>
    <w:tmpl w:val="B382F2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EE4019"/>
    <w:multiLevelType w:val="hybridMultilevel"/>
    <w:tmpl w:val="37D08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3E5DA7"/>
    <w:multiLevelType w:val="hybridMultilevel"/>
    <w:tmpl w:val="30800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D4A95"/>
    <w:multiLevelType w:val="hybridMultilevel"/>
    <w:tmpl w:val="CCA4655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19">
      <w:start w:val="1"/>
      <w:numFmt w:val="lowerLetter"/>
      <w:lvlText w:val="%3."/>
      <w:lvlJc w:val="left"/>
      <w:pPr>
        <w:ind w:left="2880" w:hanging="360"/>
      </w:pPr>
      <w:rPr>
        <w:rFont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8B3CD6"/>
    <w:multiLevelType w:val="hybridMultilevel"/>
    <w:tmpl w:val="5D72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B656D1"/>
    <w:multiLevelType w:val="hybridMultilevel"/>
    <w:tmpl w:val="17FA4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127581"/>
    <w:multiLevelType w:val="hybridMultilevel"/>
    <w:tmpl w:val="3C70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970809"/>
    <w:multiLevelType w:val="hybridMultilevel"/>
    <w:tmpl w:val="DCA2B1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DC6FE9"/>
    <w:multiLevelType w:val="hybridMultilevel"/>
    <w:tmpl w:val="3DAC3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73750E"/>
    <w:multiLevelType w:val="hybridMultilevel"/>
    <w:tmpl w:val="FA5052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D826E3"/>
    <w:multiLevelType w:val="hybridMultilevel"/>
    <w:tmpl w:val="0C128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B4755"/>
    <w:multiLevelType w:val="hybridMultilevel"/>
    <w:tmpl w:val="9E5A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D8300B"/>
    <w:multiLevelType w:val="hybridMultilevel"/>
    <w:tmpl w:val="AAD6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4528EF"/>
    <w:multiLevelType w:val="hybridMultilevel"/>
    <w:tmpl w:val="A71C7CAE"/>
    <w:lvl w:ilvl="0" w:tplc="BAF60154">
      <w:start w:val="1"/>
      <w:numFmt w:val="decimal"/>
      <w:lvlText w:val="%1."/>
      <w:lvlJc w:val="left"/>
      <w:pPr>
        <w:ind w:left="360" w:hanging="360"/>
      </w:pPr>
      <w:rPr>
        <w:rFonts w:ascii="Times New Roman" w:hAnsi="Times New Roman" w:cs="Times New Roman"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D37938"/>
    <w:multiLevelType w:val="hybridMultilevel"/>
    <w:tmpl w:val="698CA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A45031"/>
    <w:multiLevelType w:val="hybridMultilevel"/>
    <w:tmpl w:val="7A12A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BB2939"/>
    <w:multiLevelType w:val="hybridMultilevel"/>
    <w:tmpl w:val="7614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105E6F"/>
    <w:multiLevelType w:val="hybridMultilevel"/>
    <w:tmpl w:val="24486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E6603A"/>
    <w:multiLevelType w:val="hybridMultilevel"/>
    <w:tmpl w:val="FAF2A06C"/>
    <w:lvl w:ilvl="0" w:tplc="E64EE9AE">
      <w:start w:val="1"/>
      <w:numFmt w:val="decimal"/>
      <w:lvlText w:val="%1."/>
      <w:lvlJc w:val="left"/>
      <w:pPr>
        <w:ind w:left="360" w:hanging="360"/>
      </w:pPr>
      <w:rPr>
        <w:rFonts w:ascii="Times New Roman" w:hAnsi="Times New Roman" w:cs="Times New Roman"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9E2D7F"/>
    <w:multiLevelType w:val="hybridMultilevel"/>
    <w:tmpl w:val="3DBCBCA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53513A"/>
    <w:multiLevelType w:val="hybridMultilevel"/>
    <w:tmpl w:val="317270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FF5317B"/>
    <w:multiLevelType w:val="hybridMultilevel"/>
    <w:tmpl w:val="528A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27"/>
  </w:num>
  <w:num w:numId="4">
    <w:abstractNumId w:val="12"/>
  </w:num>
  <w:num w:numId="5">
    <w:abstractNumId w:val="26"/>
  </w:num>
  <w:num w:numId="6">
    <w:abstractNumId w:val="3"/>
  </w:num>
  <w:num w:numId="7">
    <w:abstractNumId w:val="2"/>
  </w:num>
  <w:num w:numId="8">
    <w:abstractNumId w:val="6"/>
  </w:num>
  <w:num w:numId="9">
    <w:abstractNumId w:val="8"/>
  </w:num>
  <w:num w:numId="10">
    <w:abstractNumId w:val="15"/>
  </w:num>
  <w:num w:numId="11">
    <w:abstractNumId w:val="24"/>
  </w:num>
  <w:num w:numId="12">
    <w:abstractNumId w:val="0"/>
  </w:num>
  <w:num w:numId="13">
    <w:abstractNumId w:val="21"/>
  </w:num>
  <w:num w:numId="14">
    <w:abstractNumId w:val="14"/>
  </w:num>
  <w:num w:numId="15">
    <w:abstractNumId w:val="11"/>
  </w:num>
  <w:num w:numId="16">
    <w:abstractNumId w:val="16"/>
  </w:num>
  <w:num w:numId="17">
    <w:abstractNumId w:val="13"/>
  </w:num>
  <w:num w:numId="18">
    <w:abstractNumId w:val="25"/>
  </w:num>
  <w:num w:numId="19">
    <w:abstractNumId w:val="29"/>
  </w:num>
  <w:num w:numId="20">
    <w:abstractNumId w:val="18"/>
  </w:num>
  <w:num w:numId="21">
    <w:abstractNumId w:val="7"/>
  </w:num>
  <w:num w:numId="22">
    <w:abstractNumId w:val="9"/>
  </w:num>
  <w:num w:numId="23">
    <w:abstractNumId w:val="5"/>
  </w:num>
  <w:num w:numId="24">
    <w:abstractNumId w:val="17"/>
  </w:num>
  <w:num w:numId="25">
    <w:abstractNumId w:val="10"/>
  </w:num>
  <w:num w:numId="26">
    <w:abstractNumId w:val="19"/>
  </w:num>
  <w:num w:numId="27">
    <w:abstractNumId w:val="20"/>
  </w:num>
  <w:num w:numId="28">
    <w:abstractNumId w:val="1"/>
  </w:num>
  <w:num w:numId="29">
    <w:abstractNumId w:val="22"/>
  </w:num>
  <w:num w:numId="30">
    <w:abstractNumId w:val="30"/>
  </w:num>
  <w:num w:numId="31">
    <w:abstractNumId w:val="2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77E"/>
    <w:rsid w:val="00015C60"/>
    <w:rsid w:val="00021226"/>
    <w:rsid w:val="0002595D"/>
    <w:rsid w:val="00053421"/>
    <w:rsid w:val="0005499F"/>
    <w:rsid w:val="00064134"/>
    <w:rsid w:val="00074D64"/>
    <w:rsid w:val="000B36D3"/>
    <w:rsid w:val="000B4654"/>
    <w:rsid w:val="000B59EC"/>
    <w:rsid w:val="00124B69"/>
    <w:rsid w:val="001259BA"/>
    <w:rsid w:val="00133079"/>
    <w:rsid w:val="001342FA"/>
    <w:rsid w:val="00150473"/>
    <w:rsid w:val="00177BF1"/>
    <w:rsid w:val="001A1C67"/>
    <w:rsid w:val="001B3F02"/>
    <w:rsid w:val="001E3C38"/>
    <w:rsid w:val="001F33EE"/>
    <w:rsid w:val="001F7D16"/>
    <w:rsid w:val="00200719"/>
    <w:rsid w:val="00203D06"/>
    <w:rsid w:val="00225AC7"/>
    <w:rsid w:val="002329C9"/>
    <w:rsid w:val="00234F09"/>
    <w:rsid w:val="0025260C"/>
    <w:rsid w:val="00263FAC"/>
    <w:rsid w:val="00296ACA"/>
    <w:rsid w:val="002A0CF2"/>
    <w:rsid w:val="002A482B"/>
    <w:rsid w:val="002B115E"/>
    <w:rsid w:val="002B3387"/>
    <w:rsid w:val="002B7C16"/>
    <w:rsid w:val="002D0CD9"/>
    <w:rsid w:val="002F7FD3"/>
    <w:rsid w:val="0031294D"/>
    <w:rsid w:val="00314158"/>
    <w:rsid w:val="00345366"/>
    <w:rsid w:val="00364061"/>
    <w:rsid w:val="00387D38"/>
    <w:rsid w:val="003C2137"/>
    <w:rsid w:val="003C5B41"/>
    <w:rsid w:val="003E549C"/>
    <w:rsid w:val="003F6891"/>
    <w:rsid w:val="00404802"/>
    <w:rsid w:val="00411E24"/>
    <w:rsid w:val="00421D69"/>
    <w:rsid w:val="00455B8A"/>
    <w:rsid w:val="004808DC"/>
    <w:rsid w:val="00486B48"/>
    <w:rsid w:val="004904B9"/>
    <w:rsid w:val="004B7684"/>
    <w:rsid w:val="004F78C3"/>
    <w:rsid w:val="005078A3"/>
    <w:rsid w:val="005144DD"/>
    <w:rsid w:val="005409A2"/>
    <w:rsid w:val="00560D82"/>
    <w:rsid w:val="00575194"/>
    <w:rsid w:val="0057790E"/>
    <w:rsid w:val="0059581B"/>
    <w:rsid w:val="005A7E57"/>
    <w:rsid w:val="005D0ED4"/>
    <w:rsid w:val="005F6B27"/>
    <w:rsid w:val="005F7972"/>
    <w:rsid w:val="00604CA0"/>
    <w:rsid w:val="006066A8"/>
    <w:rsid w:val="00611132"/>
    <w:rsid w:val="0061224D"/>
    <w:rsid w:val="00620E65"/>
    <w:rsid w:val="00645434"/>
    <w:rsid w:val="00696231"/>
    <w:rsid w:val="006C573C"/>
    <w:rsid w:val="006D4631"/>
    <w:rsid w:val="006D5339"/>
    <w:rsid w:val="00701582"/>
    <w:rsid w:val="00702777"/>
    <w:rsid w:val="007103D3"/>
    <w:rsid w:val="007226CF"/>
    <w:rsid w:val="00734901"/>
    <w:rsid w:val="00743F11"/>
    <w:rsid w:val="00754119"/>
    <w:rsid w:val="00756B4B"/>
    <w:rsid w:val="00762E08"/>
    <w:rsid w:val="007A4996"/>
    <w:rsid w:val="007B43DB"/>
    <w:rsid w:val="007D5AC3"/>
    <w:rsid w:val="007E3DFD"/>
    <w:rsid w:val="008008AB"/>
    <w:rsid w:val="00802C46"/>
    <w:rsid w:val="0081054E"/>
    <w:rsid w:val="008172D7"/>
    <w:rsid w:val="00822CA3"/>
    <w:rsid w:val="008319F0"/>
    <w:rsid w:val="00831F47"/>
    <w:rsid w:val="00857B5C"/>
    <w:rsid w:val="00883345"/>
    <w:rsid w:val="0088605A"/>
    <w:rsid w:val="008A11B2"/>
    <w:rsid w:val="008B21C2"/>
    <w:rsid w:val="008B6113"/>
    <w:rsid w:val="008D0338"/>
    <w:rsid w:val="008E1C19"/>
    <w:rsid w:val="008E3D70"/>
    <w:rsid w:val="00900AB6"/>
    <w:rsid w:val="00901E61"/>
    <w:rsid w:val="009045C6"/>
    <w:rsid w:val="009506FB"/>
    <w:rsid w:val="00962D7A"/>
    <w:rsid w:val="00964DD7"/>
    <w:rsid w:val="00992581"/>
    <w:rsid w:val="009A676F"/>
    <w:rsid w:val="009A6858"/>
    <w:rsid w:val="009A72BB"/>
    <w:rsid w:val="009D0E94"/>
    <w:rsid w:val="009E72B1"/>
    <w:rsid w:val="00A10D92"/>
    <w:rsid w:val="00A16334"/>
    <w:rsid w:val="00A3263D"/>
    <w:rsid w:val="00A47BEC"/>
    <w:rsid w:val="00A66339"/>
    <w:rsid w:val="00A77D26"/>
    <w:rsid w:val="00A85C8C"/>
    <w:rsid w:val="00AB6644"/>
    <w:rsid w:val="00AD62A7"/>
    <w:rsid w:val="00B14DA6"/>
    <w:rsid w:val="00B53009"/>
    <w:rsid w:val="00B55266"/>
    <w:rsid w:val="00B63D94"/>
    <w:rsid w:val="00B73EBA"/>
    <w:rsid w:val="00BA310C"/>
    <w:rsid w:val="00BB037B"/>
    <w:rsid w:val="00BC38B4"/>
    <w:rsid w:val="00BE0129"/>
    <w:rsid w:val="00BE2E47"/>
    <w:rsid w:val="00BE5D42"/>
    <w:rsid w:val="00BF3BA5"/>
    <w:rsid w:val="00C077A3"/>
    <w:rsid w:val="00C16D66"/>
    <w:rsid w:val="00C265C5"/>
    <w:rsid w:val="00C276A8"/>
    <w:rsid w:val="00C36C22"/>
    <w:rsid w:val="00C535AE"/>
    <w:rsid w:val="00C62436"/>
    <w:rsid w:val="00C80801"/>
    <w:rsid w:val="00C86C90"/>
    <w:rsid w:val="00C93B02"/>
    <w:rsid w:val="00C972B5"/>
    <w:rsid w:val="00CD1805"/>
    <w:rsid w:val="00CD2558"/>
    <w:rsid w:val="00CE79EF"/>
    <w:rsid w:val="00CE7B9B"/>
    <w:rsid w:val="00CF37AF"/>
    <w:rsid w:val="00CF5E1A"/>
    <w:rsid w:val="00D27299"/>
    <w:rsid w:val="00D43C16"/>
    <w:rsid w:val="00D534A1"/>
    <w:rsid w:val="00D56BBF"/>
    <w:rsid w:val="00D57A7E"/>
    <w:rsid w:val="00D610E0"/>
    <w:rsid w:val="00D63B32"/>
    <w:rsid w:val="00D721AC"/>
    <w:rsid w:val="00D74D6A"/>
    <w:rsid w:val="00D95925"/>
    <w:rsid w:val="00D9787E"/>
    <w:rsid w:val="00DB1F18"/>
    <w:rsid w:val="00DD702D"/>
    <w:rsid w:val="00E01A2C"/>
    <w:rsid w:val="00E06621"/>
    <w:rsid w:val="00E32EAC"/>
    <w:rsid w:val="00E429D6"/>
    <w:rsid w:val="00E61615"/>
    <w:rsid w:val="00E6411B"/>
    <w:rsid w:val="00E64372"/>
    <w:rsid w:val="00E845D7"/>
    <w:rsid w:val="00EA0555"/>
    <w:rsid w:val="00EB5B0D"/>
    <w:rsid w:val="00EC13BA"/>
    <w:rsid w:val="00F06E05"/>
    <w:rsid w:val="00F1054B"/>
    <w:rsid w:val="00F153C7"/>
    <w:rsid w:val="00F239C5"/>
    <w:rsid w:val="00F253C7"/>
    <w:rsid w:val="00F4177C"/>
    <w:rsid w:val="00F5169D"/>
    <w:rsid w:val="00F53FAB"/>
    <w:rsid w:val="00F5777E"/>
    <w:rsid w:val="00F70F2D"/>
    <w:rsid w:val="00F83656"/>
    <w:rsid w:val="00F87CA6"/>
    <w:rsid w:val="00F97752"/>
    <w:rsid w:val="00FA6A37"/>
    <w:rsid w:val="00FB75E5"/>
    <w:rsid w:val="00FC503B"/>
    <w:rsid w:val="00FD77FD"/>
    <w:rsid w:val="00FE1E98"/>
    <w:rsid w:val="00FE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8E373"/>
  <w15:chartTrackingRefBased/>
  <w15:docId w15:val="{C806D33F-6320-4D7F-AF52-5D00E64D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C1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64DD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66339"/>
    <w:pPr>
      <w:spacing w:after="0" w:line="240" w:lineRule="auto"/>
    </w:pPr>
  </w:style>
  <w:style w:type="paragraph" w:styleId="EndnoteText">
    <w:name w:val="endnote text"/>
    <w:basedOn w:val="Normal"/>
    <w:link w:val="EndnoteTextChar"/>
    <w:uiPriority w:val="99"/>
    <w:unhideWhenUsed/>
    <w:rsid w:val="00A66339"/>
    <w:rPr>
      <w:sz w:val="20"/>
      <w:szCs w:val="20"/>
    </w:rPr>
  </w:style>
  <w:style w:type="character" w:customStyle="1" w:styleId="EndnoteTextChar">
    <w:name w:val="Endnote Text Char"/>
    <w:basedOn w:val="DefaultParagraphFont"/>
    <w:link w:val="EndnoteText"/>
    <w:uiPriority w:val="99"/>
    <w:rsid w:val="00A66339"/>
    <w:rPr>
      <w:sz w:val="20"/>
      <w:szCs w:val="20"/>
    </w:rPr>
  </w:style>
  <w:style w:type="character" w:styleId="EndnoteReference">
    <w:name w:val="endnote reference"/>
    <w:basedOn w:val="DefaultParagraphFont"/>
    <w:uiPriority w:val="99"/>
    <w:semiHidden/>
    <w:unhideWhenUsed/>
    <w:rsid w:val="00A66339"/>
    <w:rPr>
      <w:vertAlign w:val="superscript"/>
    </w:rPr>
  </w:style>
  <w:style w:type="character" w:styleId="Hyperlink">
    <w:name w:val="Hyperlink"/>
    <w:basedOn w:val="DefaultParagraphFont"/>
    <w:uiPriority w:val="99"/>
    <w:unhideWhenUsed/>
    <w:rsid w:val="00D57A7E"/>
    <w:rPr>
      <w:color w:val="0563C1" w:themeColor="hyperlink"/>
      <w:u w:val="single"/>
    </w:rPr>
  </w:style>
  <w:style w:type="character" w:styleId="CommentReference">
    <w:name w:val="annotation reference"/>
    <w:basedOn w:val="DefaultParagraphFont"/>
    <w:uiPriority w:val="99"/>
    <w:semiHidden/>
    <w:unhideWhenUsed/>
    <w:rsid w:val="00696231"/>
    <w:rPr>
      <w:sz w:val="16"/>
      <w:szCs w:val="16"/>
    </w:rPr>
  </w:style>
  <w:style w:type="paragraph" w:styleId="CommentText">
    <w:name w:val="annotation text"/>
    <w:basedOn w:val="Normal"/>
    <w:link w:val="CommentTextChar"/>
    <w:uiPriority w:val="99"/>
    <w:unhideWhenUsed/>
    <w:rsid w:val="00696231"/>
    <w:rPr>
      <w:sz w:val="20"/>
      <w:szCs w:val="20"/>
    </w:rPr>
  </w:style>
  <w:style w:type="character" w:customStyle="1" w:styleId="CommentTextChar">
    <w:name w:val="Comment Text Char"/>
    <w:basedOn w:val="DefaultParagraphFont"/>
    <w:link w:val="CommentText"/>
    <w:uiPriority w:val="99"/>
    <w:rsid w:val="00696231"/>
    <w:rPr>
      <w:sz w:val="20"/>
      <w:szCs w:val="20"/>
    </w:rPr>
  </w:style>
  <w:style w:type="paragraph" w:styleId="ListParagraph">
    <w:name w:val="List Paragraph"/>
    <w:basedOn w:val="Normal"/>
    <w:uiPriority w:val="34"/>
    <w:qFormat/>
    <w:rsid w:val="00CE79EF"/>
    <w:pPr>
      <w:ind w:left="720"/>
      <w:contextualSpacing/>
    </w:pPr>
  </w:style>
  <w:style w:type="paragraph" w:styleId="Header">
    <w:name w:val="header"/>
    <w:basedOn w:val="Normal"/>
    <w:link w:val="HeaderChar"/>
    <w:uiPriority w:val="99"/>
    <w:unhideWhenUsed/>
    <w:rsid w:val="00E01A2C"/>
    <w:pPr>
      <w:tabs>
        <w:tab w:val="center" w:pos="4680"/>
        <w:tab w:val="right" w:pos="9360"/>
      </w:tabs>
    </w:pPr>
  </w:style>
  <w:style w:type="character" w:customStyle="1" w:styleId="HeaderChar">
    <w:name w:val="Header Char"/>
    <w:basedOn w:val="DefaultParagraphFont"/>
    <w:link w:val="Header"/>
    <w:uiPriority w:val="99"/>
    <w:rsid w:val="00E01A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1A2C"/>
    <w:pPr>
      <w:tabs>
        <w:tab w:val="center" w:pos="4680"/>
        <w:tab w:val="right" w:pos="9360"/>
      </w:tabs>
    </w:pPr>
  </w:style>
  <w:style w:type="character" w:customStyle="1" w:styleId="FooterChar">
    <w:name w:val="Footer Char"/>
    <w:basedOn w:val="DefaultParagraphFont"/>
    <w:link w:val="Footer"/>
    <w:uiPriority w:val="99"/>
    <w:rsid w:val="00E01A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03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338"/>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E0662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06621"/>
    <w:rPr>
      <w:sz w:val="20"/>
      <w:szCs w:val="20"/>
    </w:rPr>
  </w:style>
  <w:style w:type="character" w:styleId="FootnoteReference">
    <w:name w:val="footnote reference"/>
    <w:basedOn w:val="DefaultParagraphFont"/>
    <w:uiPriority w:val="99"/>
    <w:semiHidden/>
    <w:unhideWhenUsed/>
    <w:rsid w:val="00E06621"/>
    <w:rPr>
      <w:vertAlign w:val="superscript"/>
    </w:rPr>
  </w:style>
  <w:style w:type="character" w:customStyle="1" w:styleId="Heading1Char">
    <w:name w:val="Heading 1 Char"/>
    <w:basedOn w:val="DefaultParagraphFont"/>
    <w:link w:val="Heading1"/>
    <w:uiPriority w:val="9"/>
    <w:rsid w:val="00964DD7"/>
    <w:rPr>
      <w:rFonts w:ascii="Times New Roman" w:eastAsia="Times New Roman" w:hAnsi="Times New Roman" w:cs="Times New Roman"/>
      <w:b/>
      <w:bCs/>
      <w:kern w:val="36"/>
      <w:sz w:val="48"/>
      <w:szCs w:val="48"/>
    </w:rPr>
  </w:style>
  <w:style w:type="paragraph" w:styleId="CommentSubject">
    <w:name w:val="annotation subject"/>
    <w:basedOn w:val="CommentText"/>
    <w:next w:val="CommentText"/>
    <w:link w:val="CommentSubjectChar"/>
    <w:uiPriority w:val="99"/>
    <w:semiHidden/>
    <w:unhideWhenUsed/>
    <w:rsid w:val="007B43DB"/>
    <w:rPr>
      <w:b/>
      <w:bCs/>
    </w:rPr>
  </w:style>
  <w:style w:type="character" w:customStyle="1" w:styleId="CommentSubjectChar">
    <w:name w:val="Comment Subject Char"/>
    <w:basedOn w:val="CommentTextChar"/>
    <w:link w:val="CommentSubject"/>
    <w:uiPriority w:val="99"/>
    <w:semiHidden/>
    <w:rsid w:val="007B43DB"/>
    <w:rPr>
      <w:rFonts w:ascii="Times New Roman" w:eastAsia="Times New Roman" w:hAnsi="Times New Roman" w:cs="Times New Roman"/>
      <w:b/>
      <w:bCs/>
      <w:sz w:val="20"/>
      <w:szCs w:val="20"/>
    </w:rPr>
  </w:style>
  <w:style w:type="paragraph" w:styleId="TOCHeading">
    <w:name w:val="TOC Heading"/>
    <w:basedOn w:val="Heading1"/>
    <w:next w:val="Normal"/>
    <w:uiPriority w:val="39"/>
    <w:unhideWhenUsed/>
    <w:qFormat/>
    <w:rsid w:val="002F7FD3"/>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2F7FD3"/>
    <w:pPr>
      <w:spacing w:after="100"/>
    </w:pPr>
  </w:style>
  <w:style w:type="paragraph" w:styleId="TOC2">
    <w:name w:val="toc 2"/>
    <w:basedOn w:val="Normal"/>
    <w:next w:val="Normal"/>
    <w:autoRedefine/>
    <w:uiPriority w:val="39"/>
    <w:unhideWhenUsed/>
    <w:rsid w:val="002F7FD3"/>
    <w:pPr>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2F7FD3"/>
    <w:pPr>
      <w:spacing w:after="100" w:line="259" w:lineRule="auto"/>
      <w:ind w:left="440"/>
    </w:pPr>
    <w:rPr>
      <w:rFonts w:asciiTheme="minorHAnsi" w:eastAsiaTheme="minorEastAsia" w:hAnsiTheme="minorHAnsi"/>
      <w:sz w:val="22"/>
      <w:szCs w:val="22"/>
    </w:rPr>
  </w:style>
  <w:style w:type="character" w:customStyle="1" w:styleId="NoSpacingChar">
    <w:name w:val="No Spacing Char"/>
    <w:basedOn w:val="DefaultParagraphFont"/>
    <w:link w:val="NoSpacing"/>
    <w:uiPriority w:val="1"/>
    <w:rsid w:val="001F33EE"/>
  </w:style>
  <w:style w:type="character" w:styleId="UnresolvedMention">
    <w:name w:val="Unresolved Mention"/>
    <w:basedOn w:val="DefaultParagraphFont"/>
    <w:uiPriority w:val="99"/>
    <w:semiHidden/>
    <w:unhideWhenUsed/>
    <w:rsid w:val="00BE2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264587">
      <w:bodyDiv w:val="1"/>
      <w:marLeft w:val="0"/>
      <w:marRight w:val="0"/>
      <w:marTop w:val="0"/>
      <w:marBottom w:val="0"/>
      <w:divBdr>
        <w:top w:val="none" w:sz="0" w:space="0" w:color="auto"/>
        <w:left w:val="none" w:sz="0" w:space="0" w:color="auto"/>
        <w:bottom w:val="none" w:sz="0" w:space="0" w:color="auto"/>
        <w:right w:val="none" w:sz="0" w:space="0" w:color="auto"/>
      </w:divBdr>
    </w:div>
    <w:div w:id="1259562080">
      <w:bodyDiv w:val="1"/>
      <w:marLeft w:val="0"/>
      <w:marRight w:val="0"/>
      <w:marTop w:val="0"/>
      <w:marBottom w:val="0"/>
      <w:divBdr>
        <w:top w:val="none" w:sz="0" w:space="0" w:color="auto"/>
        <w:left w:val="none" w:sz="0" w:space="0" w:color="auto"/>
        <w:bottom w:val="none" w:sz="0" w:space="0" w:color="auto"/>
        <w:right w:val="none" w:sz="0" w:space="0" w:color="auto"/>
      </w:divBdr>
    </w:div>
    <w:div w:id="1598056440">
      <w:bodyDiv w:val="1"/>
      <w:marLeft w:val="0"/>
      <w:marRight w:val="0"/>
      <w:marTop w:val="0"/>
      <w:marBottom w:val="0"/>
      <w:divBdr>
        <w:top w:val="none" w:sz="0" w:space="0" w:color="auto"/>
        <w:left w:val="none" w:sz="0" w:space="0" w:color="auto"/>
        <w:bottom w:val="none" w:sz="0" w:space="0" w:color="auto"/>
        <w:right w:val="none" w:sz="0" w:space="0" w:color="auto"/>
      </w:divBdr>
    </w:div>
    <w:div w:id="204906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rabiak@health.usf.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drabiak@health.usf.edu"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cdc.gov/reproductivehealth/Infertility" TargetMode="External"/><Relationship Id="rId2" Type="http://schemas.openxmlformats.org/officeDocument/2006/relationships/hyperlink" Target="https://www.nap.edu/catalog/24623/human-genome-editing-science-ethics-and-governance" TargetMode="External"/><Relationship Id="rId1" Type="http://schemas.openxmlformats.org/officeDocument/2006/relationships/hyperlink" Target="http://www.hgalert.org/Mitochondria%20brief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C8C6CED-44F0-4FAA-84D6-AC231CF32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4805</Words>
  <Characters>27394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Drabiak, Katherine</dc:creator>
  <cp:keywords/>
  <dc:description/>
  <cp:lastModifiedBy>Katherine Drabiak</cp:lastModifiedBy>
  <cp:revision>2</cp:revision>
  <cp:lastPrinted>2019-06-04T20:10:00Z</cp:lastPrinted>
  <dcterms:created xsi:type="dcterms:W3CDTF">2019-07-24T14:57:00Z</dcterms:created>
  <dcterms:modified xsi:type="dcterms:W3CDTF">2019-07-24T14:57:00Z</dcterms:modified>
</cp:coreProperties>
</file>